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Tribunal Regional do Trabalho da 12ª Região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ORÇAMENTO - AQUISIÇÃO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PROPONENTE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31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Cidade/UF: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DA PROPONENTE</w:t>
        <w:tab/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00.0" w:type="dxa"/>
        <w:jc w:val="left"/>
        <w:tblInd w:w="-31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100"/>
        <w:tblGridChange w:id="0">
          <w:tblGrid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C/C: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Os dados bancários acima indicados deverão ser, necessariamente, os da proponente. Não serão realizados pagamentos em conta bancária de terceiros, de titularidade diferente.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2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05"/>
        <w:gridCol w:w="5811"/>
        <w:gridCol w:w="1276"/>
        <w:gridCol w:w="1134"/>
        <w:gridCol w:w="992"/>
        <w:gridCol w:w="1134"/>
        <w:tblGridChange w:id="0">
          <w:tblGrid>
            <w:gridCol w:w="705"/>
            <w:gridCol w:w="5811"/>
            <w:gridCol w:w="1276"/>
            <w:gridCol w:w="1134"/>
            <w:gridCol w:w="992"/>
            <w:gridCol w:w="1134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LOTE ÚNICO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gridSpan w:val="6"/>
            <w:tcBorders>
              <w:top w:color="000001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Prazo de Garantia mínimo: 12 meses a partir do recebimento definitivo para todos os itens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ff2cc" w:val="clear"/>
                <w:vertAlign w:val="baseline"/>
                <w:rtl w:val="0"/>
              </w:rPr>
              <w:t xml:space="preserve">Todos os itens devem ser compatíveis entre 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 / Modelo</w:t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Quant.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</w:t>
            </w:r>
          </w:p>
        </w:tc>
        <w:tc>
          <w:tcPr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59" w:right="10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AMPLIFICADOR DE ÁUDIO.</w:t>
            </w:r>
          </w:p>
          <w:p w:rsidR="00000000" w:rsidDel="00000000" w:rsidP="00000000" w:rsidRDefault="00000000" w:rsidRPr="00000000" w14:paraId="00000035">
            <w:pPr>
              <w:ind w:left="159" w:right="10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Amplificador de áudio (200 Watts), com dois canais de 100 Watts RMS em 4 Ohms, cada. Com as seguintes caraterísticas técnicas:</w:t>
            </w:r>
          </w:p>
          <w:p w:rsidR="00000000" w:rsidDel="00000000" w:rsidP="00000000" w:rsidRDefault="00000000" w:rsidRPr="00000000" w14:paraId="00000036">
            <w:pPr>
              <w:pBdr>
                <w:bottom w:color="000000" w:space="1" w:sz="4" w:val="single"/>
                <w:right w:color="000000" w:space="2" w:sz="4" w:val="singl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Impedância de entrada &gt;30K Ohms (desbalanceada) </w:t>
            </w:r>
          </w:p>
          <w:p w:rsidR="00000000" w:rsidDel="00000000" w:rsidP="00000000" w:rsidRDefault="00000000" w:rsidRPr="00000000" w14:paraId="00000037">
            <w:pPr>
              <w:pBdr>
                <w:bottom w:color="000000" w:space="1" w:sz="4" w:val="single"/>
                <w:right w:color="000000" w:space="2" w:sz="4" w:val="singl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Controle de volume por canal </w:t>
            </w:r>
          </w:p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  <w:right w:color="000000" w:space="2" w:sz="4" w:val="singl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Estágio de amplificação em classe AB; </w:t>
            </w:r>
          </w:p>
          <w:p w:rsidR="00000000" w:rsidDel="00000000" w:rsidP="00000000" w:rsidRDefault="00000000" w:rsidRPr="00000000" w14:paraId="00000039">
            <w:pPr>
              <w:pBdr>
                <w:bottom w:color="000000" w:space="1" w:sz="4" w:val="single"/>
                <w:right w:color="000000" w:space="2" w:sz="4" w:val="singl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Montagem em padrão internacional 19” (482,6mm); </w:t>
            </w:r>
          </w:p>
          <w:p w:rsidR="00000000" w:rsidDel="00000000" w:rsidP="00000000" w:rsidRDefault="00000000" w:rsidRPr="00000000" w14:paraId="0000003A">
            <w:pPr>
              <w:pBdr>
                <w:bottom w:color="000000" w:space="1" w:sz="4" w:val="single"/>
                <w:right w:color="000000" w:space="2" w:sz="4" w:val="singl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Construção mecânica em chapa de aço com 2U; </w:t>
            </w:r>
          </w:p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  <w:right w:color="000000" w:space="2" w:sz="4" w:val="single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Acabamento do chassis em pintura epóxi eletrostática; </w:t>
            </w:r>
          </w:p>
          <w:p w:rsidR="00000000" w:rsidDel="00000000" w:rsidP="00000000" w:rsidRDefault="00000000" w:rsidRPr="00000000" w14:paraId="0000003C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 fator de amortecimento (damping), para controle de deslocamento dos alto-falantes em baixas freqüências;</w:t>
            </w:r>
          </w:p>
          <w:p w:rsidR="00000000" w:rsidDel="00000000" w:rsidP="00000000" w:rsidRDefault="00000000" w:rsidRPr="00000000" w14:paraId="0000003D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 ledes indicadores de Active, Signal e Clipe, que permitem que o usuário possa monitorar o estado de operação do amplificador.</w:t>
            </w:r>
          </w:p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Possuir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proteção contra curto-circuito na saída do amplificador.</w:t>
            </w:r>
          </w:p>
          <w:p w:rsidR="00000000" w:rsidDel="00000000" w:rsidP="00000000" w:rsidRDefault="00000000" w:rsidRPr="00000000" w14:paraId="0000003F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 ventilação forçada através de microventilador.</w:t>
            </w:r>
          </w:p>
          <w:p w:rsidR="00000000" w:rsidDel="00000000" w:rsidP="00000000" w:rsidRDefault="00000000" w:rsidRPr="00000000" w14:paraId="00000040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Possuir 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ntrada de sinal com com 02 (dois) jacks ¼” TS por canal</w:t>
            </w:r>
          </w:p>
          <w:p w:rsidR="00000000" w:rsidDel="00000000" w:rsidP="00000000" w:rsidRDefault="00000000" w:rsidRPr="00000000" w14:paraId="00000041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Possuir saída de potência com dois bornes (vermelho e preto) por canal.</w:t>
            </w:r>
          </w:p>
          <w:p w:rsidR="00000000" w:rsidDel="00000000" w:rsidP="00000000" w:rsidRDefault="00000000" w:rsidRPr="00000000" w14:paraId="00000042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Deverá estar acompanhado de cabo de energia com 03 (três) pinos, sendo o terceiro pino o aterramento.</w:t>
            </w:r>
          </w:p>
          <w:p w:rsidR="00000000" w:rsidDel="00000000" w:rsidP="00000000" w:rsidRDefault="00000000" w:rsidRPr="00000000" w14:paraId="00000043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Tensão de entrada 110/220V com chave seletora e fusível de proteção.</w:t>
            </w:r>
          </w:p>
          <w:p w:rsidR="00000000" w:rsidDel="00000000" w:rsidP="00000000" w:rsidRDefault="00000000" w:rsidRPr="00000000" w14:paraId="00000044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Modelos de Referência: </w:t>
            </w:r>
          </w:p>
          <w:p w:rsidR="00000000" w:rsidDel="00000000" w:rsidP="00000000" w:rsidRDefault="00000000" w:rsidRPr="00000000" w14:paraId="00000046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Amplificador Mark Audio – MK1200.</w:t>
            </w:r>
          </w:p>
          <w:p w:rsidR="00000000" w:rsidDel="00000000" w:rsidP="00000000" w:rsidRDefault="00000000" w:rsidRPr="00000000" w14:paraId="00000047">
            <w:pPr>
              <w:pBdr>
                <w:bottom w:color="000000" w:space="1" w:sz="4" w:val="single"/>
                <w:right w:color="000000" w:space="2" w:sz="4" w:val="single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Amplificador Potência - Pa 1600 New Vox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DIVISOR DE VÍDEO.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Impedância de entrada &gt;30K Ohms (desbalanceada)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● Divisores de vídeo (splitter - HDMI) 1x8 .                               ● Di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visor Sinal Hdmi 2.0 (1 entrada e 8 saídas) 4K (3840X2160) Splitter.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Compatibilidade com HDMI 2.0 e 1.4 e 1.3 e 1.1 e Plug and play.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● Capacidade para c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onecta oito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exibidores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HDMI ao mesmo tempo para a mesma fonte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vídeo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●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Comprimento dos cabos: Em Full-HD 10 metros de entrada e 15 metros de saída. Em 4K 5 metros de entrada e 10 metros de saída.</w:t>
              <w:br w:type="textWrapping"/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Marcas/Modelos de Referência: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Divisor Sinal Hdmi 2.0 1X8 4K 3840 X 2160 Splitter 8 Saídas – JS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Technology.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Splitter Divisor Hdmi 1x8 4k2k 2.0 60hz 1 Imagem Em 8 Telas - Migtec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1 x 8 HDMI UHD 4K60 18 Gb/s Splitter - </w:t>
            </w:r>
            <w:hyperlink r:id="rId7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Comprehensive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471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ADAPTADOR SDI para HDMI.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Adaptador SDI p/ HDMI 4K 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SDI para HDMI 6G. Resolução 4K (4096 x 2160) c/ 24p e UHD 4K (3840 x 2160) até 60p para HDMI. 4:2:2 Amostragem e precisão de cor. Dimensionador de HD e conversão descendente de SD. Amostragem de áudio de 24 bits e 48 kHz. Compatível com os padrões SMPTE 259M, 292M, 296M, 372M, 424M, 425M Nível A/B e SMPTE ST-2081.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Marcas/Modelos de Referência: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MiniConverter SDI to HDMI 4K BlackMagic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Datavideo 4K SDI to HDMI Converter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AJA Hi5-4K-Plus 3G-SDI to HDMI 2.0 Converter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d) Gra-Vue MIO SDI-HDMI-4K 4-Channel HD/SD-SDI to HDMI 4K Converter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right="106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SWITCH MULTI-VIEWER 8x1 QUAD 4K.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Suporta 8 entradas HDMI, uma saída HDMI;</w:t>
              <w:br w:type="textWrapping"/>
              <w:t xml:space="preserve">- Suporte para segmentação de tela de 8 sinais HDMI;</w:t>
              <w:br w:type="textWrapping"/>
              <w:t xml:space="preserve">- Suporta comutação contínua de 8 sinais HDMI;</w:t>
              <w:br w:type="textWrapping"/>
              <w:t xml:space="preserve">- Compatível com HDMI 2.0, HDCP 2.0 e DVI 1.0 versão</w:t>
              <w:br w:type="textWrapping"/>
              <w:t xml:space="preserve">- Suporta superposição de áudio e vídeo;</w:t>
              <w:br w:type="textWrapping"/>
              <w:t xml:space="preserve">- Resolução de entrada HDMI: 1080P, 720P, 1080i, 1024x768,1360x768 etc.</w:t>
              <w:br w:type="textWrapping"/>
              <w:t xml:space="preserve">- Resolução de saída HDMI: 1080P @60HZ, 2560x1600 @60HZ, 2560x1440 @60HZ, 3840x2160 @30HZ.</w:t>
              <w:br w:type="textWrapping"/>
              <w:t xml:space="preserve">- Distância do cabo de entrada e saída: =15M AWG26 cabo padrão HDMI.</w:t>
              <w:br w:type="textWrapping"/>
              <w:t xml:space="preserve">- Formato do adaptador de alimentação Entrada: AC (50HZ, 60HZ) 100V- 240V; Saída: DC12V/2A.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Marcas/Modelos de Referência: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a) Switch Multi-viewer 8x1 Quad Inteligente 4K - Marca: Cirilo Cabos                                                                          b) 9 x 1 - 4K HDMI Seamless Switcher with Multiview - A-Neuvideo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color="000000" w:space="1" w:sz="4" w:val="single"/>
                <w:right w:color="000000" w:space="2" w:sz="4" w:val="single"/>
                <w:between w:space="0" w:sz="0" w:val="nil"/>
              </w:pBdr>
              <w:ind w:left="159" w:right="106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DO LOTE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O preço deve contemplar todos os custos necessários para entrega do objeto no Almoxarifado do Tribunal</w:t>
      </w:r>
      <w:r w:rsidDel="00000000" w:rsidR="00000000" w:rsidRPr="00000000">
        <w:rPr>
          <w:i w:val="1"/>
          <w:rtl w:val="0"/>
        </w:rPr>
        <w:t xml:space="preserve">, salvo indicação de local diverso. Se houver divergência entre preço unitário e total, prevalecerá o resultado da multiplicação do preço unitário com duas casas decimais, pela quantidade.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VALIDADE DA PROPOSTA E PRAZO DE ENTREGA</w:t>
      </w:r>
    </w:p>
    <w:p w:rsidR="00000000" w:rsidDel="00000000" w:rsidP="00000000" w:rsidRDefault="00000000" w:rsidRPr="00000000" w14:paraId="0000007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5.0" w:type="dxa"/>
        <w:jc w:val="left"/>
        <w:tblInd w:w="-31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Validade da Proposta: 60 dias corridos.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Prazo de Entrega: _________ dias corridos.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O prazo de entrega deve ser de até 20 dias),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COMPLEMENTARES</w:t>
      </w:r>
    </w:p>
    <w:p w:rsidR="00000000" w:rsidDel="00000000" w:rsidP="00000000" w:rsidRDefault="00000000" w:rsidRPr="00000000" w14:paraId="00000084">
      <w:pPr>
        <w:spacing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Informações complementares poderão ser obtidas junto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CMLOG / SEMAT</w:t>
      </w:r>
      <w:r w:rsidDel="00000000" w:rsidR="00000000" w:rsidRPr="00000000">
        <w:rPr>
          <w:sz w:val="24"/>
          <w:szCs w:val="24"/>
          <w:rtl w:val="0"/>
        </w:rPr>
        <w:t xml:space="preserve">, com o servidor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Alceu Aquini Dias Filho</w:t>
      </w:r>
      <w:r w:rsidDel="00000000" w:rsidR="00000000" w:rsidRPr="00000000">
        <w:rPr>
          <w:sz w:val="24"/>
          <w:szCs w:val="24"/>
          <w:rtl w:val="0"/>
        </w:rPr>
        <w:t xml:space="preserve">. Fone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48 – 3216-4142 </w:t>
      </w:r>
      <w:r w:rsidDel="00000000" w:rsidR="00000000" w:rsidRPr="00000000">
        <w:rPr>
          <w:sz w:val="24"/>
          <w:szCs w:val="24"/>
          <w:rtl w:val="0"/>
        </w:rPr>
        <w:t xml:space="preserve">(das 12:00 às 19:00).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E-mail </w:t>
      </w: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semat@trt12.jus.br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DEVOLUÇÃO DO ORÇAMENTO</w:t>
      </w:r>
    </w:p>
    <w:p w:rsidR="00000000" w:rsidDel="00000000" w:rsidP="00000000" w:rsidRDefault="00000000" w:rsidRPr="00000000" w14:paraId="00000088">
      <w:pPr>
        <w:spacing w:after="12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 Orçamento preenchido deve ser devolvido para o e-mail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semat@trt12.jus.br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RESPONSÁVEL PELA ELABORAÇÃO DO ORÇAMENTO</w:t>
      </w:r>
    </w:p>
    <w:p w:rsidR="00000000" w:rsidDel="00000000" w:rsidP="00000000" w:rsidRDefault="00000000" w:rsidRPr="00000000" w14:paraId="0000008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31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pela elaboração do Orçamento: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8E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 E DATA:</w:t>
      </w:r>
    </w:p>
    <w:tbl>
      <w:tblPr>
        <w:tblStyle w:val="Table6"/>
        <w:tblW w:w="9765.0" w:type="dxa"/>
        <w:jc w:val="left"/>
        <w:tblInd w:w="-296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4903"/>
        <w:gridCol w:w="4862"/>
        <w:tblGridChange w:id="0">
          <w:tblGrid>
            <w:gridCol w:w="4903"/>
            <w:gridCol w:w="4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92">
      <w:pPr>
        <w:spacing w:after="12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line="240" w:lineRule="auto"/>
        <w:jc w:val="both"/>
        <w:rPr/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CONDIÇÕES GERAIS</w:t>
      </w:r>
      <w:r w:rsidDel="00000000" w:rsidR="00000000" w:rsidRPr="00000000">
        <w:rPr>
          <w:i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1- Divulgação da nota de empenho:</w:t>
      </w:r>
    </w:p>
    <w:tbl>
      <w:tblPr>
        <w:tblStyle w:val="Table7"/>
        <w:tblW w:w="10349.0" w:type="dxa"/>
        <w:jc w:val="left"/>
        <w:tblInd w:w="-50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Nota de Empenho será enviada para o e-mail informado pela empresa neste Orçamento, além de ser disponibilizada na Internet no site deste Tribunal </w:t>
            </w:r>
            <w:hyperlink r:id="rId10">
              <w:r w:rsidDel="00000000" w:rsidR="00000000" w:rsidRPr="00000000">
                <w:rPr>
                  <w:i w:val="1"/>
                  <w:color w:val="000080"/>
                  <w:sz w:val="20"/>
                  <w:szCs w:val="20"/>
                  <w:u w:val="single"/>
                  <w:rtl w:val="0"/>
                </w:rPr>
                <w:t xml:space="preserve">https://portal.trt12.jus.br/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O objeto deverá ser entregue após a emissão da nota de empenho, dentro do prazo de entrega estipulado.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2 - Penalidades:</w:t>
      </w:r>
    </w:p>
    <w:tbl>
      <w:tblPr>
        <w:tblStyle w:val="Table8"/>
        <w:tblW w:w="10349.0" w:type="dxa"/>
        <w:jc w:val="left"/>
        <w:tblInd w:w="-50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after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</w:p>
        </w:tc>
      </w:tr>
    </w:tbl>
    <w:p w:rsidR="00000000" w:rsidDel="00000000" w:rsidP="00000000" w:rsidRDefault="00000000" w:rsidRPr="00000000" w14:paraId="00000099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3 - Condições de Pagamento:</w:t>
      </w:r>
    </w:p>
    <w:tbl>
      <w:tblPr>
        <w:tblStyle w:val="Table9"/>
        <w:tblW w:w="10349.0" w:type="dxa"/>
        <w:jc w:val="left"/>
        <w:tblInd w:w="-50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000000" w:rsidDel="00000000" w:rsidP="00000000" w:rsidRDefault="00000000" w:rsidRPr="00000000" w14:paraId="0000009C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4 - Documentação exigível:</w:t>
      </w:r>
    </w:p>
    <w:tbl>
      <w:tblPr>
        <w:tblStyle w:val="Table10"/>
        <w:tblW w:w="10349.0" w:type="dxa"/>
        <w:jc w:val="left"/>
        <w:tblInd w:w="-50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empresa deve estar em situação de regularidade fiscal e trabalhista: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Certidão Negativa do FGTS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hyperlink r:id="rId11">
              <w:r w:rsidDel="00000000" w:rsidR="00000000" w:rsidRPr="00000000">
                <w:rPr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https://consulta-crf.caixa.gov.br/consultacrf/pages/consultaEmpregador.jsf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Certidão de Débitos Relativos a Créditos Tributários Federais e à Dívida Ativa da União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hyperlink r:id="rId12">
              <w:r w:rsidDel="00000000" w:rsidR="00000000" w:rsidRPr="00000000">
                <w:rPr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http://www.receita.fazenda.gov.br/Aplicacoes/ATSPO/Certidao/CndConjuntaInter/InformaNiCertidao.asp?tipo=1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Certidão Negativa de Débitos Trabalhistas - CNDT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hyperlink r:id="rId13">
              <w:r w:rsidDel="00000000" w:rsidR="00000000" w:rsidRPr="00000000">
                <w:rPr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http://www.tst.jus.br/certidao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Portal da Transparência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hyperlink r:id="rId14">
              <w:r w:rsidDel="00000000" w:rsidR="00000000" w:rsidRPr="00000000">
                <w:rPr>
                  <w:i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http://www.transparencia.gov.br/sancoes/ceis?ordenarPor=nome&amp;direcao=asc</w:t>
              </w:r>
            </w:hyperlink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5 - Fornecedor Pessoa Física</w:t>
      </w:r>
    </w:p>
    <w:tbl>
      <w:tblPr>
        <w:tblStyle w:val="Table11"/>
        <w:tblW w:w="10297.0" w:type="dxa"/>
        <w:jc w:val="left"/>
        <w:tblInd w:w="-44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297"/>
        <w:tblGridChange w:id="0">
          <w:tblGrid>
            <w:gridCol w:w="102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Caso o fornecedor seja PESSOA FÍSICA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15">
              <w:r w:rsidDel="00000000" w:rsidR="00000000" w:rsidRPr="00000000">
                <w:rPr>
                  <w:i w:val="1"/>
                  <w:color w:val="000080"/>
                  <w:sz w:val="20"/>
                  <w:szCs w:val="20"/>
                  <w:u w:val="single"/>
                  <w:rtl w:val="0"/>
                </w:rPr>
                <w:t xml:space="preserve">http://www.trt12.jus.br/portal/areas/secod/extranet/documentos/Cad_PF_e-social.doc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6 – LGPD</w:t>
      </w:r>
    </w:p>
    <w:p w:rsidR="00000000" w:rsidDel="00000000" w:rsidP="00000000" w:rsidRDefault="00000000" w:rsidRPr="00000000" w14:paraId="000000AC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0" w:sz="4" w:val="single"/>
        </w:pBdr>
        <w:ind w:hanging="425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O tratamento dos dados coletados no presente orçamento está em integral conformidade com a Lei nº 13.709/2019 (Lei Geral de Proteção de Dados - LGPD).</w:t>
      </w:r>
    </w:p>
    <w:p w:rsidR="00000000" w:rsidDel="00000000" w:rsidP="00000000" w:rsidRDefault="00000000" w:rsidRPr="00000000" w14:paraId="000000A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00"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10196.0" w:type="dxa"/>
        <w:jc w:val="left"/>
        <w:tblInd w:w="-35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10196"/>
        <w:tblGridChange w:id="0">
          <w:tblGrid>
            <w:gridCol w:w="101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a) para fins de liquidação e pagamento, é de exclusiva responsabilidade da Contratada o seu cadastramento no SIGEO, a gestão de seus dados e a juntada por meio do referido Sistema dos documentos de cobrança/documentos fiscais (notas fiscais/faturas);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b) é de exclusiva responsabilidade da Contratada as ações indicadas na alínea anterior não cabendo ao Contratante qualquer responsabilidade pela falta de juntada ao sistema no prazo;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Acesso ao SIGEO-JT e orientações: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/>
            </w:pPr>
            <w:hyperlink r:id="rId16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https://portal.trt12.jus.br/licitacoes-e-contratos/informacoes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/>
            </w:pPr>
            <w:hyperlink r:id="rId17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https://sigeo.jt.jus.br/ajuda/kb/primeiro-acesso/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18" w:type="default"/>
      <w:pgSz w:h="16838" w:w="11906" w:orient="portrait"/>
      <w:pgMar w:bottom="851" w:top="709" w:left="1134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ind w:left="432" w:hanging="432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ind w:left="576" w:hanging="576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ind w:left="720" w:hanging="72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ind w:left="864" w:hanging="864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ind w:left="1008" w:hanging="1008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ind w:left="1152" w:hanging="1152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537E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sulta-crf.caixa.gov.br/consultacrf/pages/consultaEmpregador.jsf" TargetMode="External"/><Relationship Id="rId10" Type="http://schemas.openxmlformats.org/officeDocument/2006/relationships/hyperlink" Target="https://portal.trt12.jus.br/" TargetMode="External"/><Relationship Id="rId13" Type="http://schemas.openxmlformats.org/officeDocument/2006/relationships/hyperlink" Target="http://www.tst.jus.br/certidao" TargetMode="External"/><Relationship Id="rId12" Type="http://schemas.openxmlformats.org/officeDocument/2006/relationships/hyperlink" Target="http://www.receita.fazenda.gov.br/Aplicacoes/ATSPO/Certidao/CndConjuntaInter/InformaNiCertidao.asp?tipo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mat@trt12.jus.br" TargetMode="External"/><Relationship Id="rId15" Type="http://schemas.openxmlformats.org/officeDocument/2006/relationships/hyperlink" Target="http://www.trt12.jus.br/portal/areas/secod/extranet/documentos/Cad_PF_e-social.doc" TargetMode="External"/><Relationship Id="rId14" Type="http://schemas.openxmlformats.org/officeDocument/2006/relationships/hyperlink" Target="http://www.transparencia.gov.br/sancoes/ceis?ordenarPor=nome&amp;direcao=asc" TargetMode="External"/><Relationship Id="rId17" Type="http://schemas.openxmlformats.org/officeDocument/2006/relationships/hyperlink" Target="https://sigeo.jt.jus.br/ajuda/kb/primeiro-acesso/" TargetMode="External"/><Relationship Id="rId16" Type="http://schemas.openxmlformats.org/officeDocument/2006/relationships/hyperlink" Target="https://portal.trt12.jus.br/licitacoes-e-contratos/informaco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bhphotovideo.com/c/product/1324609-REG/comprehensive_cda_hd18018g_1_x_8_hdmi.html" TargetMode="External"/><Relationship Id="rId8" Type="http://schemas.openxmlformats.org/officeDocument/2006/relationships/hyperlink" Target="mailto:semat@trt12.jus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7Rh+q7/mKrbsGTHEGvuAMDhRcg==">CgMxLjA4AHIhMUxSN2JGMlRyMmpENktGaVdxNDM1cjZ6ZEtMRWpiTUlM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2023-06-01T17:04:00Z</dcterms:created>
</cp:coreProperties>
</file>