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jc w:val="center"/>
        <w:rPr/>
      </w:pPr>
      <w:r>
        <w:rPr>
          <w:b/>
          <w:sz w:val="32"/>
          <w:szCs w:val="32"/>
        </w:rPr>
        <w:t>Tribunal Regional do Trabalho da 12ª Região</w:t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40"/>
        <w:jc w:val="center"/>
        <w:rPr>
          <w:b/>
          <w:b/>
          <w:color w:val="000000"/>
          <w:sz w:val="32"/>
          <w:szCs w:val="32"/>
          <w:u w:val="single"/>
        </w:rPr>
      </w:pPr>
      <w:r>
        <w:rPr>
          <w:b/>
          <w:color w:val="000000"/>
          <w:sz w:val="32"/>
          <w:szCs w:val="32"/>
          <w:u w:val="single"/>
        </w:rPr>
        <w:t>ORÇAMENTO - SERVIÇO</w:t>
      </w:r>
    </w:p>
    <w:p>
      <w:pPr>
        <w:pStyle w:val="Normal"/>
        <w:spacing w:lineRule="auto" w:line="240"/>
        <w:jc w:val="center"/>
        <w:rPr>
          <w:b/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</w:r>
    </w:p>
    <w:p>
      <w:pPr>
        <w:pStyle w:val="Normal"/>
        <w:spacing w:lineRule="auto" w:line="240"/>
        <w:jc w:val="center"/>
        <w:rPr>
          <w:b/>
          <w:b/>
          <w:sz w:val="28"/>
          <w:szCs w:val="28"/>
        </w:rPr>
      </w:pPr>
      <w:r>
        <w:rPr>
          <w:rFonts w:eastAsia="Roboto" w:cs="Roboto" w:ascii="Roboto" w:hAnsi="Roboto"/>
          <w:b/>
          <w:color w:val="1F1F1F"/>
          <w:sz w:val="28"/>
          <w:szCs w:val="28"/>
          <w:shd w:fill="FFFFFF" w:val="clear"/>
        </w:rPr>
        <w:t>Contratação de empresa especializada na prestação de serviços de impressão de materiais para comunicação visual, sob demanda, pelo período de 12 meses.</w:t>
      </w:r>
      <w:r>
        <w:rPr>
          <w:b/>
          <w:sz w:val="28"/>
          <w:szCs w:val="28"/>
        </w:rPr>
        <w:t xml:space="preserve"> </w:t>
      </w:r>
    </w:p>
    <w:p>
      <w:pPr>
        <w:pStyle w:val="Normal"/>
        <w:spacing w:lineRule="auto" w:line="24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DA PROPONENTE</w:t>
      </w:r>
    </w:p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1"/>
        <w:tblW w:w="1003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098"/>
        <w:gridCol w:w="4936"/>
      </w:tblGrid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Razão Social: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CNPJ: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ME/EPP     (   ) sim     (  ) não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Fone: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</w:tr>
      <w:tr>
        <w:trPr/>
        <w:tc>
          <w:tcPr>
            <w:tcW w:w="1003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Endereço:</w:t>
            </w:r>
          </w:p>
        </w:tc>
      </w:tr>
      <w:tr>
        <w:trPr/>
        <w:tc>
          <w:tcPr>
            <w:tcW w:w="509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Cidade/UF:</w:t>
            </w:r>
          </w:p>
        </w:tc>
        <w:tc>
          <w:tcPr>
            <w:tcW w:w="49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CEP:</w:t>
            </w:r>
          </w:p>
        </w:tc>
      </w:tr>
    </w:tbl>
    <w:p>
      <w:pPr>
        <w:pStyle w:val="Normal"/>
        <w:spacing w:lineRule="auto" w:line="24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DADOS BANCÁRIOS DA PROPONENTE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2"/>
        <w:tblW w:w="510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5100"/>
      </w:tblGrid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Banco: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Agência:</w:t>
            </w:r>
          </w:p>
        </w:tc>
      </w:tr>
      <w:tr>
        <w:trPr/>
        <w:tc>
          <w:tcPr>
            <w:tcW w:w="5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C/C:</w:t>
            </w:r>
          </w:p>
        </w:tc>
      </w:tr>
    </w:tbl>
    <w:p>
      <w:pPr>
        <w:pStyle w:val="Normal"/>
        <w:spacing w:lineRule="auto" w:line="240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Style w:val="Table3"/>
        <w:tblW w:w="10020" w:type="dxa"/>
        <w:jc w:val="left"/>
        <w:tblInd w:w="-1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630"/>
        <w:gridCol w:w="4545"/>
        <w:gridCol w:w="1605"/>
        <w:gridCol w:w="1380"/>
        <w:gridCol w:w="1860"/>
      </w:tblGrid>
      <w:tr>
        <w:trPr>
          <w:trHeight w:val="400" w:hRule="atLeast"/>
        </w:trPr>
        <w:tc>
          <w:tcPr>
            <w:tcW w:w="63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Item</w:t>
            </w:r>
          </w:p>
        </w:tc>
        <w:tc>
          <w:tcPr>
            <w:tcW w:w="454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Especificação do Objeto</w:t>
            </w:r>
          </w:p>
        </w:tc>
        <w:tc>
          <w:tcPr>
            <w:tcW w:w="160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Unidade</w:t>
            </w:r>
          </w:p>
        </w:tc>
        <w:tc>
          <w:tcPr>
            <w:tcW w:w="13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Quantidade</w:t>
            </w:r>
          </w:p>
        </w:tc>
        <w:tc>
          <w:tcPr>
            <w:tcW w:w="186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Preço  Total (R$)</w:t>
            </w:r>
          </w:p>
        </w:tc>
      </w:tr>
      <w:tr>
        <w:trPr/>
        <w:tc>
          <w:tcPr>
            <w:tcW w:w="63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454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60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3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  <w:tc>
          <w:tcPr>
            <w:tcW w:w="186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keepNext/>
              <w:keepLines w:val="false"/>
              <w:widowControl w:val="false"/>
              <w:pBdr/>
              <w:shd w:val="clear" w:fill="auto"/>
              <w:spacing w:lineRule="auto" w:line="276" w:before="0" w:after="0"/>
              <w:ind w:left="0" w:right="0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/>
        <w:tc>
          <w:tcPr>
            <w:tcW w:w="6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5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widowControl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Contratação </w:t>
            </w:r>
            <w:r>
              <w:rPr>
                <w:b/>
                <w:sz w:val="24"/>
                <w:szCs w:val="24"/>
              </w:rPr>
              <w:t>sob demanda,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333333"/>
                <w:sz w:val="24"/>
                <w:szCs w:val="24"/>
                <w:shd w:fill="FFFFFF" w:val="clear"/>
              </w:rPr>
              <w:t>pelo período de 12(doze) meses,</w:t>
            </w:r>
            <w:r>
              <w:rPr>
                <w:sz w:val="24"/>
                <w:szCs w:val="24"/>
              </w:rPr>
              <w:t xml:space="preserve"> de </w:t>
            </w:r>
            <w:r>
              <w:rPr>
                <w:b/>
                <w:sz w:val="24"/>
                <w:szCs w:val="24"/>
              </w:rPr>
              <w:t>impressão digital em alta definição</w:t>
            </w:r>
            <w:r>
              <w:rPr>
                <w:sz w:val="24"/>
                <w:szCs w:val="24"/>
              </w:rPr>
              <w:t xml:space="preserve">, conforme </w:t>
            </w:r>
            <w:r>
              <w:rPr>
                <w:b/>
                <w:sz w:val="24"/>
                <w:szCs w:val="24"/>
              </w:rPr>
              <w:t>Contrato.</w:t>
            </w:r>
          </w:p>
        </w:tc>
        <w:tc>
          <w:tcPr>
            <w:tcW w:w="16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Contratação</w:t>
            </w:r>
          </w:p>
        </w:tc>
        <w:tc>
          <w:tcPr>
            <w:tcW w:w="13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  <w:tr>
        <w:trPr>
          <w:trHeight w:val="440" w:hRule="atLeast"/>
        </w:trPr>
        <w:tc>
          <w:tcPr>
            <w:tcW w:w="816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 w:before="31" w:after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Total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</w:r>
          </w:p>
        </w:tc>
      </w:tr>
    </w:tbl>
    <w:p>
      <w:pPr>
        <w:pStyle w:val="Normal"/>
        <w:ind w:left="720" w:hanging="0"/>
        <w:rPr>
          <w:i/>
          <w:i/>
        </w:rPr>
      </w:pPr>
      <w:r>
        <w:rPr>
          <w:i/>
        </w:rPr>
      </w:r>
    </w:p>
    <w:p>
      <w:pPr>
        <w:pStyle w:val="Normal"/>
        <w:numPr>
          <w:ilvl w:val="0"/>
          <w:numId w:val="1"/>
        </w:numPr>
        <w:ind w:left="720" w:hanging="360"/>
        <w:rPr>
          <w:i/>
          <w:i/>
        </w:rPr>
      </w:pPr>
      <w:r>
        <w:rPr>
          <w:i/>
        </w:rPr>
        <w:t xml:space="preserve">O envio da proposta implica anuência à </w:t>
      </w:r>
      <w:r>
        <w:rPr>
          <w:b/>
          <w:i/>
        </w:rPr>
        <w:t>minuta do contrato.</w:t>
      </w:r>
    </w:p>
    <w:p>
      <w:pPr>
        <w:pStyle w:val="Normal"/>
        <w:numPr>
          <w:ilvl w:val="0"/>
          <w:numId w:val="1"/>
        </w:numPr>
        <w:spacing w:lineRule="auto" w:line="240"/>
        <w:ind w:left="720" w:hanging="360"/>
        <w:jc w:val="both"/>
        <w:rPr>
          <w:i/>
          <w:i/>
        </w:rPr>
      </w:pPr>
      <w:r>
        <w:rPr>
          <w:i/>
        </w:rPr>
        <w:t>O preço deve contemplar todos os custos necessários para prestação dos serviços. Se houver divergência entre preço unitário e total, prevalecerá o resultado da multiplicação do preço unitário com duas casas decimais, pela quantidade.</w:t>
      </w:r>
    </w:p>
    <w:p>
      <w:pPr>
        <w:pStyle w:val="Normal"/>
        <w:spacing w:lineRule="auto" w:line="240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VALIDADE DA PROPOSTA E PRAZO DE ENTREGA</w:t>
      </w:r>
    </w:p>
    <w:p>
      <w:pPr>
        <w:pStyle w:val="Normal"/>
        <w:spacing w:lineRule="auto" w:line="24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4"/>
        <w:tblW w:w="10133" w:type="dxa"/>
        <w:jc w:val="left"/>
        <w:tblInd w:w="-13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0133"/>
      </w:tblGrid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Validade da Proposta:................dias corridos.</w:t>
            </w:r>
          </w:p>
        </w:tc>
      </w:tr>
      <w:tr>
        <w:trPr/>
        <w:tc>
          <w:tcPr>
            <w:tcW w:w="101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Prazo para a execução dos serviços: Conforme contrato.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INFORMAÇÕES COMPLEMENTARES</w:t>
      </w:r>
    </w:p>
    <w:p>
      <w:pPr>
        <w:pStyle w:val="Normal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Informações complementares poderão ser obtidas junto à CMLOG, com Hamilton Firminio Martins. Fone: (48) 3216-4152. E-mail: sasg@trt12.jus.br </w:t>
      </w:r>
    </w:p>
    <w:p>
      <w:pPr>
        <w:pStyle w:val="Normal"/>
        <w:spacing w:lineRule="auto" w:line="240"/>
        <w:jc w:val="both"/>
        <w:rPr>
          <w:b/>
          <w:b/>
          <w:color w:val="002060"/>
          <w:sz w:val="24"/>
          <w:szCs w:val="24"/>
        </w:rPr>
      </w:pPr>
      <w:r>
        <w:rPr>
          <w:b/>
          <w:color w:val="002060"/>
          <w:sz w:val="24"/>
          <w:szCs w:val="24"/>
        </w:rPr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DEVOLUÇÃO DO ORÇAMENTO</w:t>
      </w:r>
    </w:p>
    <w:p>
      <w:pPr>
        <w:pStyle w:val="Normal"/>
        <w:spacing w:lineRule="auto" w:line="240" w:before="0" w:after="120"/>
        <w:jc w:val="both"/>
        <w:rPr/>
      </w:pPr>
      <w:r>
        <w:rPr>
          <w:sz w:val="24"/>
          <w:szCs w:val="24"/>
        </w:rPr>
        <w:t xml:space="preserve">O orçamento preenchido deve ser devolvido para o e-mail </w:t>
      </w:r>
      <w:hyperlink r:id="rId2">
        <w:r>
          <w:rPr>
            <w:rStyle w:val="LinkdaInternet"/>
            <w:color w:val="1155CC"/>
            <w:sz w:val="24"/>
            <w:szCs w:val="24"/>
            <w:u w:val="single"/>
          </w:rPr>
          <w:t>compras@trt12.jus.br</w:t>
        </w:r>
      </w:hyperlink>
      <w:r>
        <w:rPr>
          <w:color w:val="0070C0"/>
        </w:rPr>
        <w:t xml:space="preserve"> </w:t>
      </w:r>
      <w:r>
        <w:rPr>
          <w:b/>
          <w:sz w:val="24"/>
          <w:szCs w:val="24"/>
        </w:rPr>
        <w:t>até o dia 09/08/2023, às 16:00 hs.</w:t>
      </w:r>
    </w:p>
    <w:p>
      <w:pPr>
        <w:pStyle w:val="Normal"/>
        <w:spacing w:lineRule="auto" w:line="240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/>
        <w:rPr/>
      </w:pPr>
      <w:r>
        <w:rPr>
          <w:b/>
          <w:sz w:val="24"/>
          <w:szCs w:val="24"/>
        </w:rPr>
        <w:t>DADOS DO RESPONSÁVEL PELA ELABORAÇÃO DO ORÇAMENTO</w:t>
      </w:r>
    </w:p>
    <w:tbl>
      <w:tblPr>
        <w:tblStyle w:val="Table5"/>
        <w:tblW w:w="9855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55"/>
      </w:tblGrid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do responsável pela elaboração do Orçamento:</w:t>
            </w:r>
          </w:p>
        </w:tc>
      </w:tr>
      <w:tr>
        <w:trPr/>
        <w:tc>
          <w:tcPr>
            <w:tcW w:w="98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</w:tbl>
    <w:p>
      <w:pPr>
        <w:pStyle w:val="Normal"/>
        <w:spacing w:lineRule="auto" w:line="240"/>
        <w:rPr>
          <w:b/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pacing w:lineRule="auto" w:line="240" w:before="0" w:after="120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CIDADE E DATA:</w:t>
      </w:r>
    </w:p>
    <w:tbl>
      <w:tblPr>
        <w:tblStyle w:val="Table6"/>
        <w:tblW w:w="9765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4903"/>
        <w:gridCol w:w="4861"/>
      </w:tblGrid>
      <w:tr>
        <w:trPr/>
        <w:tc>
          <w:tcPr>
            <w:tcW w:w="490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Cidade:</w:t>
            </w:r>
          </w:p>
        </w:tc>
        <w:tc>
          <w:tcPr>
            <w:tcW w:w="486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Data:</w:t>
            </w:r>
          </w:p>
        </w:tc>
      </w:tr>
    </w:tbl>
    <w:p>
      <w:pPr>
        <w:pStyle w:val="Normal"/>
        <w:spacing w:lineRule="auto" w:line="240" w:before="0" w:after="120"/>
        <w:jc w:val="both"/>
        <w:rPr>
          <w:b/>
          <w:b/>
          <w:i/>
          <w:i/>
          <w:u w:val="single"/>
        </w:rPr>
      </w:pPr>
      <w:r>
        <w:rPr>
          <w:b/>
          <w:i/>
          <w:u w:val="single"/>
        </w:rPr>
      </w:r>
    </w:p>
    <w:p>
      <w:pPr>
        <w:pStyle w:val="Normal"/>
        <w:spacing w:lineRule="auto" w:line="240"/>
        <w:jc w:val="both"/>
        <w:rPr/>
      </w:pPr>
      <w:r>
        <w:rPr>
          <w:b/>
          <w:i/>
          <w:u w:val="single"/>
        </w:rPr>
        <w:t>CONDIÇÕES GERAIS</w:t>
      </w:r>
      <w:r>
        <w:rPr>
          <w:i/>
        </w:rPr>
        <w:t>: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1- Divulgação da nota de empenho:</w:t>
      </w:r>
    </w:p>
    <w:tbl>
      <w:tblPr>
        <w:tblStyle w:val="Table7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A Nota de Empenho será enviada para o e-mail informado pela empresa neste Orçamento, além de ser disponibilizada na Internet no site deste Tribunal </w:t>
            </w:r>
            <w:hyperlink r:id="rId3">
              <w:r>
                <w:rPr>
                  <w:rStyle w:val="LinkdaInternet"/>
                  <w:i/>
                  <w:color w:val="000080"/>
                  <w:u w:val="single"/>
                </w:rPr>
                <w:t>https://portal.trt12.jus.br/</w:t>
              </w:r>
            </w:hyperlink>
            <w:r>
              <w:rPr>
                <w:i/>
              </w:rPr>
              <w:t>. O objeto deverá ser entregue após a emissão da nota de empenho, dentro do prazo de entrega estipulado.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2 - Penalidades:</w:t>
      </w:r>
    </w:p>
    <w:tbl>
      <w:tblPr>
        <w:tblStyle w:val="Table8"/>
        <w:tblW w:w="972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20"/>
      </w:tblGrid>
      <w:tr>
        <w:trPr/>
        <w:tc>
          <w:tcPr>
            <w:tcW w:w="972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As penalidades pela inexecução total ou parcial do objeto, sem prejuízo das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demais penalidades previstas na Lei nº 14.133/2021 são as seguintes: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a) Multa de mora de 0,3% por dia sobre o valor do item em atraso, limitada a 10% 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valor do item, sem prejuízo das demais sanções. Em caso de atraso superior a 30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dias, poderá a Administração, a seu critério, declarar a inexecução contratual.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b) Multa por inexecução parcial de 5% sobre valor total do contrato.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c) Multa por inexecução total de 15% sobre o valor total do contrato, que resulte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inexecução do contrato com prejuízo para a Administração;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A regularidade fiscal e trabalhista deverá ser mantida durante a vigência 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contratação, sob pena de aplicação de multa de 1% do valor da nota fiscal, cujo valor será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retido dos créditos da empresa, sem prejuízo da aplicação das demais penalidades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previstas em lei.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Penalidades da Contratada em face da LGPD:</w:t>
            </w:r>
          </w:p>
          <w:p>
            <w:pPr>
              <w:pStyle w:val="Normal"/>
              <w:spacing w:lineRule="auto" w:line="240"/>
              <w:jc w:val="both"/>
              <w:rPr>
                <w:b/>
                <w:b/>
                <w:i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O descumprimento das obrigações relativas ao tratamento de dados incidirá nas seguintes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penalidades conforme art. 156 §3º da Lei nº 14.133/2021: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a) Multa compensatória de 5% do valor do contrato.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3 - Condições de Pagamento:</w:t>
      </w:r>
    </w:p>
    <w:tbl>
      <w:tblPr>
        <w:tblStyle w:val="Table9"/>
        <w:tblW w:w="969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690"/>
      </w:tblGrid>
      <w:tr>
        <w:trPr/>
        <w:tc>
          <w:tcPr>
            <w:tcW w:w="969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liquidação e o pagamento obedecerão o seguinte: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 - Não haverá pagamento se o serviço não for executado de acordo com 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condições estabelecidas, estando ainda a empresa contratada sujeita às penalidades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previstas no item 16 - Penalidades.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II - O pagamento será efetuado mediante a aprovação dos serviços pelo fiscal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técnico e após a emissão do termo de recebimento definitivo.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III - Os pagamentos serão realizados na forma do SIGEO JT - Sistema Integrado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de Gestão Orçamentária e Financeira da Justiça do Trabalho - Módulo Execução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Orçamentária.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a) para fins de liquidação e pagamento, é de exclusiva responsabilidade 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Contratada o seu cadastramento no SIGEO, gestão de seus dados e a juntada por meio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do referido Sistema dos documentos de cobrança/documentos fiscais (notas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fiscais/faturas);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anterior não cabendo ao Contratante quaisquer responsabilidade pela falta de juntada ao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d) as notas fiscais deverão ser juntadas pela Contratada no sistema SIGEO-JT -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Execução Financeira e os documentos exigidos no Termo de Referência deverão ser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encaminhados ao Núcleo de Análise e Liquidação da Despesa – NULAD pelo e-mail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nulad@trt.jus.br;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e) o prazo para pagamento será de 5 (cinco) dias úteis do Termo de Recebimento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Definitivo. Será considerada data do pagamento o dia em que constar como emitida 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ordem bancária para pagamento. Antes do pagamento à contratada, será realizada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consulta ao SICAF para verificar a manutenção das condições de habilitação exigidas na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contratação e no Termo de Referência;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f) quando do pagamento, será efetuada a retenção tributária prevista na legislação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aplicável. A Contratada regularmente optante pelo Simples Nacional, nos termos da Lei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Complementar nº 123, de 2006, não sofrerá a retenção tributária quanto aos impostos 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contribuições abrangidos por aquele regime. No entanto, o pagamento ficará condicionado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à apresentação de comprovação, por meio de documento oficial, de que faz jus ao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tratamento tributário favorecido previsto na referida Lei Complementar;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g) havendo erro na(s) nota(s) fiscal(s)/fatura(s) ou qualquer circunstância que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impeça a liquidação da despesa, aquela será restituída ou será comunicada a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irregularidade ao fornecedor, interrompendo-se o prazo para pagamento até que este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providencie as medidas saneadoras.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4 - Documentação exigível:</w:t>
      </w:r>
    </w:p>
    <w:tbl>
      <w:tblPr>
        <w:tblStyle w:val="Table10"/>
        <w:tblW w:w="9840" w:type="dxa"/>
        <w:jc w:val="left"/>
        <w:tblInd w:w="-10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9840"/>
      </w:tblGrid>
      <w:tr>
        <w:trPr/>
        <w:tc>
          <w:tcPr>
            <w:tcW w:w="98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 empresa deve estar em situação de regularidade fiscal e trabalhista: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do FGTS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https://consulta-crf.caixa.gov.br/consultacrf/pages/consultaEmpregador.jsf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de Débitos Relativos a Créditos Tributários Federais e à Dívida Ativa da União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http://www.receita.fazenda.gov.br/Aplicacoes/ATSPO/Certidao/CndConjuntaInter/InformaNiCertidao.asp?tipo=1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Certidão Negativa de Débitos Trabalhistas - CNDT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http://www.tst.jus.br/certidao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Portal da Transparência</w:t>
            </w:r>
          </w:p>
          <w:p>
            <w:pPr>
              <w:pStyle w:val="Normal"/>
              <w:spacing w:lineRule="auto" w:line="240"/>
              <w:rPr/>
            </w:pPr>
            <w:hyperlink r:id="rId4">
              <w:r>
                <w:rPr>
                  <w:rStyle w:val="LinkdaInternet"/>
                  <w:i/>
                  <w:color w:val="1155CC"/>
                  <w:u w:val="single"/>
                </w:rPr>
                <w:t>http://www.transparencia.gov.br/sancoes/ceis?ordenarPor=nome&amp;direcao=asc</w:t>
              </w:r>
            </w:hyperlink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  <w:t>Requisitos técnicos para contratação:</w:t>
            </w:r>
          </w:p>
          <w:p>
            <w:pPr>
              <w:pStyle w:val="Normal"/>
              <w:spacing w:lineRule="auto" w:line="240"/>
              <w:rPr>
                <w:b/>
                <w:b/>
                <w:i/>
                <w:i/>
              </w:rPr>
            </w:pPr>
            <w:r>
              <w:rPr>
                <w:b/>
                <w:i/>
              </w:rPr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- Declaração de vistoria ou de que conhece as condições locais para a execução do objeto e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entrega da obra.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- O envio da proposta implicará anuência aos termos e condições estabelecidos no Termo de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>Referência anexo, bem como de todas as obrigações, responsabilidades e condições necessárias</w:t>
            </w:r>
          </w:p>
          <w:p>
            <w:pPr>
              <w:pStyle w:val="Normal"/>
              <w:spacing w:lineRule="auto" w:line="240"/>
              <w:rPr>
                <w:i/>
                <w:i/>
              </w:rPr>
            </w:pPr>
            <w:r>
              <w:rPr>
                <w:i/>
              </w:rPr>
              <w:t xml:space="preserve">à execução do objeto. </w:t>
            </w:r>
          </w:p>
        </w:tc>
      </w:tr>
    </w:tbl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5 - Fornecedor Pessoa Física</w:t>
      </w:r>
    </w:p>
    <w:tbl>
      <w:tblPr>
        <w:tblStyle w:val="Table11"/>
        <w:tblW w:w="9750" w:type="dxa"/>
        <w:jc w:val="left"/>
        <w:tblInd w:w="-9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0" w:type="dxa"/>
          <w:left w:w="107" w:type="dxa"/>
          <w:bottom w:w="0" w:type="dxa"/>
          <w:right w:w="108" w:type="dxa"/>
        </w:tblCellMar>
        <w:tblLook w:val="0000"/>
      </w:tblPr>
      <w:tblGrid>
        <w:gridCol w:w="9750"/>
      </w:tblGrid>
      <w:tr>
        <w:trPr/>
        <w:tc>
          <w:tcPr>
            <w:tcW w:w="975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107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b/>
                <w:i/>
              </w:rPr>
              <w:t>Caso o fornecedor seja PESSOA FÍSICA</w:t>
            </w:r>
            <w:r>
              <w:rPr>
                <w:i/>
              </w:rPr>
              <w:t xml:space="preserve"> deve preencher o cadastro para validação no e-Social do Governo Federal. Preencha o formulário e encaminhe junto com o orçamento. Obtenha o FORMULÁRIO no link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>
                <w:i/>
              </w:rPr>
              <w:t xml:space="preserve"> </w:t>
            </w:r>
            <w:hyperlink r:id="rId5">
              <w:r>
                <w:rPr>
                  <w:rStyle w:val="LinkdaInternet"/>
                  <w:i/>
                  <w:color w:val="000080"/>
                  <w:u w:val="single"/>
                </w:rPr>
                <w:t>http://www.trt12.jus.br/portal/areas/secod/extranet/documentos/Cad_PF_e-social.doc</w:t>
              </w:r>
            </w:hyperlink>
          </w:p>
        </w:tc>
      </w:tr>
    </w:tbl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rPr>
          <w:b/>
          <w:b/>
          <w:i/>
          <w:i/>
        </w:rPr>
      </w:pPr>
      <w:r>
        <w:rPr>
          <w:b/>
          <w:i/>
        </w:rPr>
        <w:t>6 – LGPD</w:t>
      </w:r>
    </w:p>
    <w:p>
      <w:pPr>
        <w:pStyle w:val="Normal"/>
        <w:pBdr>
          <w:top w:val="single" w:sz="4" w:space="1" w:color="000001"/>
          <w:left w:val="single" w:sz="4" w:space="4" w:color="000001"/>
          <w:bottom w:val="single" w:sz="4" w:space="1" w:color="000001"/>
          <w:right w:val="single" w:sz="4" w:space="4" w:color="000001"/>
        </w:pBdr>
        <w:spacing w:lineRule="auto" w:line="240"/>
        <w:jc w:val="both"/>
        <w:rPr/>
      </w:pPr>
      <w:r>
        <w:rPr>
          <w:i/>
          <w:shd w:fill="FFFFFF" w:val="clear"/>
        </w:rPr>
        <w:t>O tratamento dos dados coletados no presente orçamento está em integral conformidade com a Lei nº 13.709/2019 (Lei Geral de Proteção de Dados -LGPD).</w:t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spacing w:lineRule="auto" w:line="240"/>
        <w:jc w:val="both"/>
        <w:rPr>
          <w:b/>
          <w:b/>
          <w:i/>
          <w:i/>
        </w:rPr>
      </w:pPr>
      <w:r>
        <w:rPr>
          <w:b/>
          <w:i/>
        </w:rPr>
        <w:t>7 – Caso seja contratado, o fornecedor deverá se cadastrar no SIGEO-JT, bem como se responsabilizar pela gestão de seus dados e juntada nesse sistema dos documentos fiscais, também pelo contratado.</w:t>
      </w:r>
    </w:p>
    <w:tbl>
      <w:tblPr>
        <w:tblStyle w:val="Table12"/>
        <w:tblW w:w="9638" w:type="dxa"/>
        <w:jc w:val="left"/>
        <w:tblInd w:w="-17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100" w:type="dxa"/>
          <w:left w:w="90" w:type="dxa"/>
          <w:bottom w:w="100" w:type="dxa"/>
          <w:right w:w="100" w:type="dxa"/>
        </w:tblCellMar>
        <w:tblLook w:val="0600"/>
      </w:tblPr>
      <w:tblGrid>
        <w:gridCol w:w="9638"/>
      </w:tblGrid>
      <w:tr>
        <w:trPr/>
        <w:tc>
          <w:tcPr>
            <w:tcW w:w="963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0" w:type="dxa"/>
            </w:tcMar>
          </w:tcPr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I - Os pagamentos serão realizados na forma do SIGEO JT - Sistema Integrado de Gestão Orçamentária e Financeira da Justiça do Trabalho - Módulo Execução Orçamentária.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 xml:space="preserve">a) para fins de liquidação e pagamento, é de exclusiva responsabilidade da Contratada o seu cadastramento no SIGEO, gestão de seus dados e a juntada por meio do referido Sistema dos documentos de cobrança/documentos fiscais (notas fiscais/faturas); 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b) é de exclusiva responsabilidade da Contratada as ações indicadas na alínea anterior não cabendo ao Contratante qualquer responsabilidade pela falta de juntada ao sistema no prazo;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c) eventuais dúvidas poderão ser dirimidas junto à Secretaria de Orçamento e Finanças por meio do email seof@trt12.jus.br ou telefone (48) 3216-4059.</w:t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  <w:t>Acesso ao SIGEO-JT e orientações:</w:t>
            </w:r>
          </w:p>
          <w:p>
            <w:pPr>
              <w:pStyle w:val="Normal"/>
              <w:spacing w:lineRule="auto" w:line="240"/>
              <w:jc w:val="both"/>
              <w:rPr/>
            </w:pPr>
            <w:hyperlink r:id="rId6">
              <w:r>
                <w:rPr>
                  <w:rStyle w:val="LinkdaInternet"/>
                  <w:i/>
                  <w:color w:val="1155CC"/>
                  <w:u w:val="single"/>
                </w:rPr>
                <w:t>https://portal.trt12.jus.br/licitacoes-e-contratos/informacoes</w:t>
              </w:r>
            </w:hyperlink>
          </w:p>
          <w:p>
            <w:pPr>
              <w:pStyle w:val="Normal"/>
              <w:spacing w:lineRule="auto" w:line="240"/>
              <w:jc w:val="both"/>
              <w:rPr/>
            </w:pPr>
            <w:hyperlink r:id="rId7">
              <w:r>
                <w:rPr>
                  <w:rStyle w:val="LinkdaInternet"/>
                  <w:i/>
                  <w:color w:val="1155CC"/>
                  <w:u w:val="single"/>
                </w:rPr>
                <w:t>https://sigeo.jt.jus.br/ajuda/kb/primeiro-acesso/</w:t>
              </w:r>
            </w:hyperlink>
          </w:p>
          <w:p>
            <w:pPr>
              <w:pStyle w:val="Normal"/>
              <w:spacing w:lineRule="auto" w:line="240"/>
              <w:jc w:val="both"/>
              <w:rPr>
                <w:i/>
                <w:i/>
              </w:rPr>
            </w:pPr>
            <w:r>
              <w:rPr>
                <w:i/>
              </w:rPr>
            </w:r>
          </w:p>
        </w:tc>
      </w:tr>
    </w:tbl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jc w:val="both"/>
        <w:rPr/>
      </w:pPr>
      <w:r>
        <w:rPr/>
      </w:r>
    </w:p>
    <w:p>
      <w:pPr>
        <w:pStyle w:val="Normal"/>
        <w:spacing w:lineRule="auto" w:line="240"/>
        <w:rPr/>
      </w:pPr>
      <w:r>
        <w:rPr/>
      </w:r>
    </w:p>
    <w:p>
      <w:pPr>
        <w:pStyle w:val="Normal"/>
        <w:rPr/>
      </w:pPr>
      <w:r>
        <w:rPr/>
      </w:r>
    </w:p>
    <w:sectPr>
      <w:footerReference w:type="default" r:id="rId8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Georgia">
    <w:charset w:val="00"/>
    <w:family w:val="roman"/>
    <w:pitch w:val="variable"/>
  </w:font>
  <w:font w:name="Roboto">
    <w:charset w:val="00"/>
    <w:family w:val="roman"/>
    <w:pitch w:val="variable"/>
  </w:font>
  <w:font w:name="Noto Sans Symbols">
    <w:charset w:val="01"/>
    <w:family w:val="swiss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240"/>
      <w:jc w:val="both"/>
      <w:rPr/>
    </w:pPr>
    <w:r>
      <w:rPr/>
      <w:t>Versão 2.5</w:t>
    </w:r>
  </w:p>
  <w:p>
    <w:pPr>
      <w:pStyle w:val="Normal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1">
      <w:start w:val="1"/>
      <w:numFmt w:val="bullet"/>
      <w:lvlText w:val=""/>
      <w:lvlJc w:val="left"/>
      <w:pPr>
        <w:ind w:left="14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4">
      <w:start w:val="1"/>
      <w:numFmt w:val="bullet"/>
      <w:lvlText w:val=""/>
      <w:lvlJc w:val="left"/>
      <w:pPr>
        <w:ind w:left="360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7">
      <w:start w:val="1"/>
      <w:numFmt w:val="bullet"/>
      <w:lvlText w:val=""/>
      <w:lvlJc w:val="left"/>
      <w:pPr>
        <w:ind w:left="576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hAnsi="Noto Sans Symbols" w:cs="Noto Sans Symbols" w:hint="default"/>
        <w:u w:val="none"/>
        <w:b/>
        <w:rFonts w:cs="Noto Sans Symbol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224"/>
  <w:defaultTabStop w:val="720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zh-CN" w:bidi="hi-IN"/>
      </w:rPr>
    </w:rPrDefault>
    <w:pPrDefault>
      <w:pPr>
        <w:spacing w:lineRule="auto" w:line="276"/>
      </w:pPr>
    </w:pPrDefault>
  </w:docDefaults>
  <w:style w:type="paragraph" w:styleId="Normal" w:default="1">
    <w:name w:val="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1">
    <w:name w:val="Título 1"/>
    <w:basedOn w:val="Normal1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Título 2"/>
    <w:basedOn w:val="Normal1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Título 3"/>
    <w:basedOn w:val="Normal1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Título 4"/>
    <w:basedOn w:val="Normal1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Título 5"/>
    <w:basedOn w:val="Normal1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Título 6"/>
    <w:basedOn w:val="Normal1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b27ac9"/>
    <w:rPr>
      <w:color w:val="0000FF" w:themeColor="hyperlink"/>
      <w:u w:val="single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af5306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eastAsia="Noto Sans Symbols" w:cs="Noto Sans Symbols"/>
      <w:b/>
      <w:u w:val="none"/>
    </w:rPr>
  </w:style>
  <w:style w:type="paragraph" w:styleId="Ttulo">
    <w:name w:val="Título"/>
    <w:basedOn w:val="Normal"/>
    <w:next w:val="Corpodotex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Corpo do texto"/>
    <w:basedOn w:val="Normal"/>
    <w:pPr>
      <w:spacing w:lineRule="auto" w:line="288" w:before="0" w:after="140"/>
    </w:pPr>
    <w:rPr/>
  </w:style>
  <w:style w:type="paragraph" w:styleId="Lista">
    <w:name w:val="Lista"/>
    <w:basedOn w:val="Corpodotexto"/>
    <w:pPr/>
    <w:rPr>
      <w:rFonts w:cs="Mangal"/>
    </w:rPr>
  </w:style>
  <w:style w:type="paragraph" w:styleId="Legenda">
    <w:name w:val="Leg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default="1">
    <w:name w:val="LO-normal"/>
    <w:qFormat/>
    <w:pPr>
      <w:widowControl/>
      <w:suppressAutoHyphens w:val="true"/>
      <w:bidi w:val="0"/>
      <w:spacing w:lineRule="auto" w:line="276"/>
      <w:jc w:val="left"/>
    </w:pPr>
    <w:rPr>
      <w:rFonts w:ascii="Arial" w:hAnsi="Arial" w:eastAsia="Arial" w:cs="Arial"/>
      <w:color w:val="auto"/>
      <w:sz w:val="22"/>
      <w:szCs w:val="22"/>
      <w:lang w:val="pt-BR" w:eastAsia="zh-CN" w:bidi="hi-IN"/>
    </w:rPr>
  </w:style>
  <w:style w:type="paragraph" w:styleId="Ttulododocumento">
    <w:name w:val="Título do documento"/>
    <w:basedOn w:val="Normal1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ítulo"/>
    <w:basedOn w:val="Normal1"/>
    <w:next w:val="Normal"/>
    <w:pPr>
      <w:keepNext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NormalWeb">
    <w:name w:val="Normal (Web)"/>
    <w:basedOn w:val="Normal1"/>
    <w:uiPriority w:val="99"/>
    <w:unhideWhenUsed/>
    <w:qFormat/>
    <w:rsid w:val="001160bb"/>
    <w:pPr>
      <w:widowControl/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BalloonText">
    <w:name w:val="Balloon Text"/>
    <w:basedOn w:val="Normal1"/>
    <w:link w:val="TextodebaloChar"/>
    <w:uiPriority w:val="99"/>
    <w:semiHidden/>
    <w:unhideWhenUsed/>
    <w:qFormat/>
    <w:rsid w:val="00af5306"/>
    <w:pPr>
      <w:spacing w:lineRule="auto" w:line="240"/>
    </w:pPr>
    <w:rPr>
      <w:rFonts w:ascii="Segoe UI" w:hAnsi="Segoe UI" w:cs="Segoe UI"/>
      <w:sz w:val="18"/>
      <w:szCs w:val="18"/>
    </w:rPr>
  </w:style>
  <w:style w:type="paragraph" w:styleId="Rodap">
    <w:name w:val="Rodapé"/>
    <w:basedOn w:val="Normal"/>
    <w:pPr/>
    <w:rPr/>
  </w:style>
  <w:style w:type="paragraph" w:styleId="Citaes">
    <w:name w:val="Citações"/>
    <w:basedOn w:val="Normal"/>
    <w:qFormat/>
    <w:pPr/>
    <w:rPr/>
  </w:style>
  <w:style w:type="numbering" w:styleId="NoList" w:default="1">
    <w:name w:val="No List"/>
    <w:uiPriority w:val="99"/>
    <w:semiHidden/>
    <w:unhideWhenUsed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compras@trt12.jus.br" TargetMode="External"/><Relationship Id="rId3" Type="http://schemas.openxmlformats.org/officeDocument/2006/relationships/hyperlink" Target="https://portal.trt12.jus.br/" TargetMode="External"/><Relationship Id="rId4" Type="http://schemas.openxmlformats.org/officeDocument/2006/relationships/hyperlink" Target="http://www.transparencia.gov.br/sancoes/ceis?ordenarPor=nome&amp;direcao=asc" TargetMode="External"/><Relationship Id="rId5" Type="http://schemas.openxmlformats.org/officeDocument/2006/relationships/hyperlink" Target="http://www.trt12.jus.br/portal/areas/secod/extranet/documentos/Cad_PF_e-social.doc" TargetMode="External"/><Relationship Id="rId6" Type="http://schemas.openxmlformats.org/officeDocument/2006/relationships/hyperlink" Target="https://portal.trt12.jus.br/licitacoes-e-contratos/informacoes" TargetMode="External"/><Relationship Id="rId7" Type="http://schemas.openxmlformats.org/officeDocument/2006/relationships/hyperlink" Target="https://sigeo.jt.jus.br/ajuda/kb/primeiro-acesso/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jZGqA33H5u7CEMzEf2n8MhrVG9fw==">CgMxLjA4AHIhMXZfSnZuTXZJc1ZLUGxWdF9DeUhRWkVrendmMWFRV3lD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LibreOffice/4.4.5.2$Windows_x86 LibreOffice_project/a22f674fd25a3b6f45bdebf25400ed2adff0ff99</Application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2023-04-11T16:57:00Z</dcterms:created>
  <dc:creator>Edson</dc:creator>
  <dc:language>pt-BR</dc:language>
  <cp:lastPrinted>2023-08-07T07:39:01Z</cp:lastPrinted>
  <cp:revision>0</cp:revision>
</cp:coreProperties>
</file>