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5C" w:rsidRDefault="006F3CE1">
      <w:pPr>
        <w:pStyle w:val="Standard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Tribunal Regional do Trabalho da 12ª Região</w:t>
      </w:r>
    </w:p>
    <w:p w:rsidR="00E7545C" w:rsidRDefault="00E7545C">
      <w:pPr>
        <w:pStyle w:val="Standard"/>
        <w:spacing w:line="240" w:lineRule="auto"/>
        <w:jc w:val="center"/>
        <w:rPr>
          <w:b/>
          <w:sz w:val="28"/>
          <w:szCs w:val="28"/>
        </w:rPr>
      </w:pPr>
    </w:p>
    <w:p w:rsidR="00E7545C" w:rsidRDefault="006F3CE1">
      <w:pPr>
        <w:pStyle w:val="Standard"/>
        <w:spacing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ORÇAMENTO - AQUISIÇÃO</w:t>
      </w:r>
    </w:p>
    <w:p w:rsidR="00E7545C" w:rsidRDefault="00E7545C">
      <w:pPr>
        <w:pStyle w:val="Standard"/>
        <w:spacing w:line="240" w:lineRule="auto"/>
        <w:jc w:val="center"/>
      </w:pPr>
    </w:p>
    <w:p w:rsidR="00E7545C" w:rsidRDefault="00E7545C">
      <w:pPr>
        <w:pStyle w:val="Standard"/>
        <w:spacing w:line="240" w:lineRule="auto"/>
        <w:jc w:val="center"/>
        <w:rPr>
          <w:i/>
          <w:sz w:val="20"/>
          <w:szCs w:val="20"/>
          <w:u w:val="single"/>
        </w:rPr>
      </w:pP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E7545C" w:rsidRDefault="00E7545C">
      <w:pPr>
        <w:pStyle w:val="Standard"/>
        <w:spacing w:line="240" w:lineRule="auto"/>
        <w:jc w:val="center"/>
        <w:rPr>
          <w:b/>
          <w:sz w:val="24"/>
          <w:szCs w:val="24"/>
        </w:rPr>
      </w:pPr>
    </w:p>
    <w:tbl>
      <w:tblPr>
        <w:tblW w:w="1003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937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Razão Social: 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CNPJ: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ME/EPP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) sim     (  ) não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Fone: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-mail: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Cidade/UF: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</w:tbl>
    <w:p w:rsidR="00E7545C" w:rsidRDefault="00E7545C">
      <w:pPr>
        <w:pStyle w:val="Standard"/>
        <w:spacing w:line="240" w:lineRule="auto"/>
        <w:jc w:val="center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  <w:r>
        <w:rPr>
          <w:b/>
          <w:sz w:val="24"/>
          <w:szCs w:val="24"/>
        </w:rPr>
        <w:tab/>
      </w:r>
    </w:p>
    <w:p w:rsidR="00E7545C" w:rsidRDefault="00E7545C">
      <w:pPr>
        <w:pStyle w:val="Standard"/>
        <w:spacing w:line="240" w:lineRule="auto"/>
        <w:jc w:val="center"/>
        <w:rPr>
          <w:b/>
          <w:sz w:val="24"/>
          <w:szCs w:val="24"/>
        </w:rPr>
      </w:pPr>
    </w:p>
    <w:tbl>
      <w:tblPr>
        <w:tblW w:w="5100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Banco:  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Agência: 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C/C: </w:t>
            </w:r>
          </w:p>
        </w:tc>
      </w:tr>
    </w:tbl>
    <w:p w:rsidR="00E7545C" w:rsidRDefault="006F3CE1">
      <w:pPr>
        <w:pStyle w:val="Standard"/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Os dados bancários acima indicados deverão ser, necessariamente, os</w:t>
      </w:r>
      <w:r>
        <w:rPr>
          <w:i/>
        </w:rPr>
        <w:t xml:space="preserve"> da proponente. Não serão realizados pagamentos em conta bancária de terceiros, de titularidade diferente.</w:t>
      </w: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0254" w:type="dxa"/>
        <w:tblInd w:w="-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3841"/>
        <w:gridCol w:w="954"/>
        <w:gridCol w:w="1071"/>
        <w:gridCol w:w="709"/>
        <w:gridCol w:w="1134"/>
        <w:gridCol w:w="1845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:rsidR="00E7545C" w:rsidRDefault="00E7545C">
            <w:pPr>
              <w:pStyle w:val="Standard"/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Marca/</w:t>
            </w:r>
          </w:p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 de Garantia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Preço  Total</w:t>
            </w:r>
            <w:proofErr w:type="gramEnd"/>
          </w:p>
          <w:p w:rsidR="00E7545C" w:rsidRDefault="006F3CE1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line="240" w:lineRule="auto"/>
              <w:jc w:val="both"/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Pasta para eventos, material couro sintético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preto, altura 37cm, largura 27 cm, forrada em cetim </w:t>
            </w:r>
            <w:proofErr w:type="spellStart"/>
            <w:r>
              <w:rPr>
                <w:b/>
                <w:bCs/>
                <w:i/>
                <w:color w:val="000000"/>
                <w:sz w:val="18"/>
                <w:szCs w:val="18"/>
              </w:rPr>
              <w:t>maquinetado</w:t>
            </w:r>
            <w:proofErr w:type="spellEnd"/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, com abas, </w:t>
            </w:r>
            <w:proofErr w:type="spellStart"/>
            <w:r>
              <w:rPr>
                <w:b/>
                <w:bCs/>
                <w:i/>
                <w:color w:val="000000"/>
                <w:sz w:val="18"/>
                <w:szCs w:val="18"/>
              </w:rPr>
              <w:t>logoiipo</w:t>
            </w:r>
            <w:proofErr w:type="spellEnd"/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conforme modelo, clichê para gravação em baixo relevo, </w:t>
            </w:r>
            <w:proofErr w:type="spellStart"/>
            <w:r>
              <w:rPr>
                <w:b/>
                <w:bCs/>
                <w:i/>
                <w:color w:val="000000"/>
                <w:sz w:val="18"/>
                <w:szCs w:val="18"/>
              </w:rPr>
              <w:t>caracteristicas</w:t>
            </w:r>
            <w:proofErr w:type="spellEnd"/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adicionais, com </w:t>
            </w:r>
            <w:proofErr w:type="spellStart"/>
            <w:r>
              <w:rPr>
                <w:b/>
                <w:bCs/>
                <w:i/>
                <w:color w:val="000000"/>
                <w:sz w:val="18"/>
                <w:szCs w:val="18"/>
              </w:rPr>
              <w:t>ziper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E7545C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E7545C">
            <w:pPr>
              <w:pStyle w:val="Standard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E7545C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E7545C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E7545C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E7545C" w:rsidRDefault="006F3CE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i/>
        </w:rPr>
        <w:t>O preço deve contemplar todos os</w:t>
      </w:r>
      <w:r>
        <w:rPr>
          <w:i/>
        </w:rPr>
        <w:t xml:space="preserve"> custos necessários para entrega do objeto no Almoxarifado do Tribunal, salvo indicação de local diverso. Se houver divergência entre preço unitário e total, prevalecerá o resultado da multiplicação do preço unitário com duas casas decimais, pela quantidad</w:t>
      </w:r>
      <w:r>
        <w:rPr>
          <w:i/>
        </w:rPr>
        <w:t>e.</w:t>
      </w:r>
    </w:p>
    <w:p w:rsidR="00E7545C" w:rsidRDefault="00E7545C">
      <w:pPr>
        <w:pStyle w:val="Standard"/>
        <w:spacing w:line="240" w:lineRule="auto"/>
        <w:jc w:val="both"/>
        <w:rPr>
          <w:i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E7545C" w:rsidRDefault="00E7545C">
      <w:pPr>
        <w:pStyle w:val="Standard"/>
        <w:spacing w:line="240" w:lineRule="auto"/>
        <w:rPr>
          <w:sz w:val="24"/>
          <w:szCs w:val="24"/>
        </w:rPr>
      </w:pPr>
    </w:p>
    <w:tbl>
      <w:tblPr>
        <w:tblW w:w="1009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5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 _______</w:t>
            </w:r>
            <w:r>
              <w:rPr>
                <w:sz w:val="24"/>
                <w:szCs w:val="24"/>
              </w:rPr>
              <w:t xml:space="preserve">dias </w:t>
            </w:r>
            <w:proofErr w:type="gramStart"/>
            <w:r>
              <w:rPr>
                <w:sz w:val="24"/>
                <w:szCs w:val="24"/>
              </w:rPr>
              <w:t xml:space="preserve">corridos.  </w:t>
            </w:r>
            <w:proofErr w:type="gramEnd"/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Prazo de Entrega: _______ </w:t>
            </w:r>
            <w:r>
              <w:rPr>
                <w:sz w:val="24"/>
                <w:szCs w:val="24"/>
              </w:rPr>
              <w:t>dias corridos.</w:t>
            </w:r>
          </w:p>
        </w:tc>
      </w:tr>
    </w:tbl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E7545C" w:rsidRDefault="006F3CE1">
      <w:pPr>
        <w:pStyle w:val="Standard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SECRETARIA DE SEGURANÇA INSTITUCIONAL DO TRT12, </w:t>
      </w:r>
      <w:r>
        <w:rPr>
          <w:sz w:val="24"/>
          <w:szCs w:val="24"/>
        </w:rPr>
        <w:t>com o servidor CLAUDIONOR. Fone 48 3216-4289.</w:t>
      </w:r>
    </w:p>
    <w:p w:rsidR="00E7545C" w:rsidRDefault="006F3CE1">
      <w:pPr>
        <w:pStyle w:val="Standard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SSI@TRT12.JUS.BR</w:t>
      </w: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E7545C" w:rsidRDefault="006F3CE1">
      <w:pPr>
        <w:pStyle w:val="Standard"/>
        <w:spacing w:after="120" w:line="240" w:lineRule="auto"/>
        <w:jc w:val="both"/>
      </w:pPr>
      <w:r>
        <w:rPr>
          <w:sz w:val="24"/>
          <w:szCs w:val="24"/>
        </w:rPr>
        <w:t>O Orçamento preenchido deve ser devolvido para o e-mail SSI@TRT12.JUS.BR.</w:t>
      </w: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E7545C">
      <w:pPr>
        <w:pStyle w:val="Standard"/>
        <w:spacing w:line="240" w:lineRule="auto"/>
        <w:rPr>
          <w:b/>
          <w:sz w:val="24"/>
          <w:szCs w:val="24"/>
        </w:rPr>
      </w:pPr>
    </w:p>
    <w:p w:rsidR="00E7545C" w:rsidRDefault="006F3CE1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DADOS DO RESPONSÁVEL PELA ELABORAÇÃO DO ORÇAMENTO</w:t>
      </w:r>
    </w:p>
    <w:p w:rsidR="00E7545C" w:rsidRDefault="00E7545C">
      <w:pPr>
        <w:pStyle w:val="Standard"/>
        <w:spacing w:line="240" w:lineRule="auto"/>
        <w:rPr>
          <w:sz w:val="24"/>
          <w:szCs w:val="24"/>
        </w:rPr>
      </w:pPr>
    </w:p>
    <w:tbl>
      <w:tblPr>
        <w:tblW w:w="985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responsável pela </w:t>
            </w:r>
            <w:r>
              <w:rPr>
                <w:sz w:val="24"/>
                <w:szCs w:val="24"/>
              </w:rPr>
              <w:t xml:space="preserve">elaboração do Orçamento: </w:t>
            </w:r>
          </w:p>
        </w:tc>
      </w:tr>
      <w:tr w:rsidR="00E7545C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</w:tr>
    </w:tbl>
    <w:p w:rsidR="00E7545C" w:rsidRDefault="00E7545C">
      <w:pPr>
        <w:pStyle w:val="Standard"/>
        <w:spacing w:line="240" w:lineRule="auto"/>
        <w:rPr>
          <w:b/>
          <w:sz w:val="24"/>
          <w:szCs w:val="24"/>
          <w:u w:val="single"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W w:w="97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3"/>
        <w:gridCol w:w="4862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  <w:bookmarkStart w:id="0" w:name="_GoBack"/>
            <w:bookmarkEnd w:id="0"/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 w:rsidP="006F3CE1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</w:p>
        </w:tc>
      </w:tr>
    </w:tbl>
    <w:p w:rsidR="00E7545C" w:rsidRDefault="00E7545C">
      <w:pPr>
        <w:pStyle w:val="Standard"/>
        <w:spacing w:after="120" w:line="240" w:lineRule="auto"/>
        <w:jc w:val="both"/>
        <w:rPr>
          <w:b/>
          <w:i/>
          <w:u w:val="single"/>
        </w:rPr>
      </w:pPr>
    </w:p>
    <w:p w:rsidR="00E7545C" w:rsidRDefault="006F3CE1">
      <w:pPr>
        <w:pStyle w:val="Standard"/>
        <w:spacing w:after="120"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W w:w="972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after="120" w:line="240" w:lineRule="auto"/>
              <w:jc w:val="both"/>
            </w:pPr>
            <w:r>
              <w:rPr>
                <w:i/>
              </w:rPr>
              <w:t xml:space="preserve">A Nota de Empenho será enviada para o e-mail informado pela </w:t>
            </w:r>
            <w:r>
              <w:rPr>
                <w:i/>
              </w:rPr>
              <w:t xml:space="preserve">empresa neste Orçamento, além de ser disponibilizada na Internet no site deste Tribunal </w:t>
            </w:r>
            <w:hyperlink r:id="rId7" w:history="1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</w:t>
            </w:r>
            <w:r>
              <w:rPr>
                <w:i/>
              </w:rPr>
              <w:t>stipulado.</w:t>
            </w:r>
          </w:p>
        </w:tc>
      </w:tr>
    </w:tbl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W w:w="972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after="120"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</w:t>
            </w:r>
            <w:r>
              <w:rPr>
                <w:i/>
              </w:rPr>
              <w:t xml:space="preserve">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W w:w="969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after="120"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</w:t>
            </w:r>
            <w:r>
              <w:rPr>
                <w:i/>
              </w:rPr>
              <w:t>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i/>
        </w:rPr>
      </w:pPr>
      <w:r>
        <w:rPr>
          <w:b/>
          <w:i/>
        </w:rPr>
        <w:t>4 -</w:t>
      </w:r>
      <w:r>
        <w:rPr>
          <w:b/>
          <w:i/>
        </w:rPr>
        <w:t xml:space="preserve"> Documentação exigível:</w:t>
      </w:r>
    </w:p>
    <w:tbl>
      <w:tblPr>
        <w:tblW w:w="9840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0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after="120"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E7545C" w:rsidRDefault="00E7545C">
            <w:pPr>
              <w:pStyle w:val="Standard"/>
              <w:spacing w:line="240" w:lineRule="auto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 xml:space="preserve">Certidão de Débitos Relativos a Créditos Tributários </w:t>
            </w:r>
            <w:r>
              <w:rPr>
                <w:i/>
              </w:rPr>
              <w:t>Federais e à Dívida Ativa da União</w:t>
            </w: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E7545C" w:rsidRDefault="00E7545C">
            <w:pPr>
              <w:pStyle w:val="Standard"/>
              <w:spacing w:line="240" w:lineRule="auto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E7545C" w:rsidRDefault="00E7545C">
            <w:pPr>
              <w:pStyle w:val="Standard"/>
              <w:spacing w:line="240" w:lineRule="auto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E7545C" w:rsidRDefault="006F3CE1">
            <w:pPr>
              <w:pStyle w:val="Standard"/>
              <w:spacing w:line="240" w:lineRule="auto"/>
            </w:pPr>
            <w:hyperlink r:id="rId8" w:history="1">
              <w:r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No caso de haver contrato, deverá constar o nome de quem assinará o contrato, CPF e contrato social/pr</w:t>
            </w:r>
            <w:r>
              <w:rPr>
                <w:i/>
              </w:rPr>
              <w:t>ocuração.</w:t>
            </w:r>
          </w:p>
        </w:tc>
      </w:tr>
    </w:tbl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E7545C">
      <w:pPr>
        <w:pStyle w:val="Standard"/>
        <w:spacing w:after="120" w:line="240" w:lineRule="auto"/>
        <w:jc w:val="both"/>
        <w:rPr>
          <w:b/>
          <w:i/>
        </w:rPr>
      </w:pPr>
    </w:p>
    <w:p w:rsidR="00E7545C" w:rsidRDefault="006F3CE1">
      <w:pPr>
        <w:pStyle w:val="Standard"/>
        <w:spacing w:after="120" w:line="240" w:lineRule="auto"/>
        <w:jc w:val="both"/>
        <w:rPr>
          <w:b/>
          <w:i/>
        </w:rPr>
      </w:pPr>
      <w:r>
        <w:rPr>
          <w:b/>
          <w:i/>
        </w:rPr>
        <w:lastRenderedPageBreak/>
        <w:t>5 - Fornecedor Pessoa Física</w:t>
      </w:r>
    </w:p>
    <w:tbl>
      <w:tblPr>
        <w:tblW w:w="9902" w:type="dxa"/>
        <w:tblInd w:w="-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2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E7545C" w:rsidRDefault="006F3CE1">
            <w:pPr>
              <w:pStyle w:val="Standard"/>
              <w:spacing w:after="120" w:line="240" w:lineRule="auto"/>
              <w:jc w:val="both"/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9" w:history="1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E7545C" w:rsidRDefault="00E7545C">
      <w:pPr>
        <w:pStyle w:val="Standard"/>
        <w:rPr>
          <w:b/>
          <w:i/>
        </w:rPr>
      </w:pPr>
    </w:p>
    <w:p w:rsidR="00E7545C" w:rsidRDefault="006F3CE1">
      <w:pPr>
        <w:pStyle w:val="Standard"/>
        <w:rPr>
          <w:b/>
          <w:i/>
        </w:rPr>
      </w:pPr>
      <w:r>
        <w:rPr>
          <w:b/>
          <w:i/>
        </w:rPr>
        <w:t>6 – LGPD</w:t>
      </w:r>
    </w:p>
    <w:p w:rsidR="00E7545C" w:rsidRDefault="006F3CE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O tratamento dos dados coletados no presente orçamento está em i</w:t>
      </w:r>
      <w:r>
        <w:rPr>
          <w:i/>
          <w:shd w:val="clear" w:color="auto" w:fill="FFFFFF"/>
        </w:rPr>
        <w:t>ntegral conformidade com a Lei nº 13.709/2019 (Lei Geral de Proteção de Dados - LGPD).</w:t>
      </w:r>
    </w:p>
    <w:p w:rsidR="00E7545C" w:rsidRDefault="00E7545C">
      <w:pPr>
        <w:pStyle w:val="Standard"/>
      </w:pPr>
    </w:p>
    <w:p w:rsidR="00E7545C" w:rsidRDefault="006F3CE1">
      <w:pPr>
        <w:pStyle w:val="Standard"/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</w:t>
      </w:r>
      <w:r>
        <w:rPr>
          <w:b/>
          <w:i/>
        </w:rPr>
        <w:t>cais, também pelo contratado.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7545C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I - Os pagamentos serão realizados na forma do SIGEO JT - Sistema Integrado de Gestão Orçamentária e Financeira da Justiça do Trabalho - Módulo Execução Orçamentária.</w:t>
            </w:r>
          </w:p>
          <w:p w:rsidR="00E7545C" w:rsidRDefault="00E7545C">
            <w:pPr>
              <w:pStyle w:val="Standard"/>
              <w:spacing w:line="240" w:lineRule="auto"/>
              <w:jc w:val="both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</w:t>
            </w:r>
            <w:r>
              <w:rPr>
                <w:i/>
              </w:rPr>
              <w:t>responsabilidade da Contratada o seu cadastramento no SIGEO, a gestão de seus dados e a juntada por meio do referido Sistema dos documentos de cobrança/documentos fiscais (notas fiscais/faturas);</w:t>
            </w:r>
          </w:p>
          <w:p w:rsidR="00E7545C" w:rsidRDefault="00E7545C">
            <w:pPr>
              <w:pStyle w:val="Standard"/>
              <w:spacing w:line="240" w:lineRule="auto"/>
              <w:jc w:val="both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</w:t>
            </w:r>
            <w:r>
              <w:rPr>
                <w:i/>
              </w:rPr>
              <w:t>ndicadas na alínea anterior não cabendo ao Contratante qualquer responsabilidade pela falta de juntada ao sistema no prazo;</w:t>
            </w:r>
          </w:p>
          <w:p w:rsidR="00E7545C" w:rsidRDefault="00E7545C">
            <w:pPr>
              <w:pStyle w:val="Standard"/>
              <w:spacing w:line="240" w:lineRule="auto"/>
              <w:jc w:val="both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</w:t>
            </w:r>
            <w:r>
              <w:rPr>
                <w:i/>
              </w:rPr>
              <w:t>ne (48) 3216-4059.</w:t>
            </w:r>
          </w:p>
          <w:p w:rsidR="00E7545C" w:rsidRDefault="00E7545C">
            <w:pPr>
              <w:pStyle w:val="Standard"/>
              <w:spacing w:line="240" w:lineRule="auto"/>
              <w:jc w:val="both"/>
              <w:rPr>
                <w:i/>
              </w:rPr>
            </w:pPr>
          </w:p>
          <w:p w:rsidR="00E7545C" w:rsidRDefault="006F3CE1">
            <w:pPr>
              <w:pStyle w:val="Standard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E7545C" w:rsidRDefault="006F3CE1">
            <w:pPr>
              <w:pStyle w:val="Standard"/>
              <w:spacing w:line="240" w:lineRule="auto"/>
              <w:jc w:val="both"/>
            </w:pPr>
            <w:hyperlink r:id="rId10" w:history="1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E7545C" w:rsidRDefault="006F3CE1">
            <w:pPr>
              <w:pStyle w:val="Standard"/>
              <w:spacing w:line="240" w:lineRule="auto"/>
              <w:jc w:val="both"/>
            </w:pPr>
            <w:hyperlink r:id="rId11" w:history="1">
              <w:r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E7545C" w:rsidRDefault="00E7545C">
            <w:pPr>
              <w:pStyle w:val="Standard"/>
              <w:spacing w:line="240" w:lineRule="auto"/>
              <w:jc w:val="both"/>
              <w:rPr>
                <w:i/>
              </w:rPr>
            </w:pPr>
          </w:p>
        </w:tc>
      </w:tr>
    </w:tbl>
    <w:p w:rsidR="00E7545C" w:rsidRDefault="00E7545C">
      <w:pPr>
        <w:pStyle w:val="Standard"/>
        <w:spacing w:line="240" w:lineRule="auto"/>
        <w:jc w:val="both"/>
      </w:pPr>
    </w:p>
    <w:p w:rsidR="00E7545C" w:rsidRDefault="00E7545C">
      <w:pPr>
        <w:pStyle w:val="Standard"/>
      </w:pPr>
    </w:p>
    <w:sectPr w:rsidR="00E7545C">
      <w:footerReference w:type="default" r:id="rId12"/>
      <w:pgSz w:w="11906" w:h="16838"/>
      <w:pgMar w:top="1134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CE1">
      <w:r>
        <w:separator/>
      </w:r>
    </w:p>
  </w:endnote>
  <w:endnote w:type="continuationSeparator" w:id="0">
    <w:p w:rsidR="00000000" w:rsidRDefault="006F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68" w:rsidRDefault="006F3CE1">
    <w:pPr>
      <w:pStyle w:val="Standard"/>
    </w:pPr>
    <w:r>
      <w:t>Versão 2.4</w:t>
    </w:r>
  </w:p>
  <w:p w:rsidR="00426468" w:rsidRDefault="006F3CE1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CE1">
      <w:r>
        <w:rPr>
          <w:color w:val="000000"/>
        </w:rPr>
        <w:separator/>
      </w:r>
    </w:p>
  </w:footnote>
  <w:footnote w:type="continuationSeparator" w:id="0">
    <w:p w:rsidR="00000000" w:rsidRDefault="006F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63E1A"/>
    <w:multiLevelType w:val="multilevel"/>
    <w:tmpl w:val="55F64D3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null="1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null="1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null="1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545C"/>
    <w:rsid w:val="006F3CE1"/>
    <w:rsid w:val="00E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3522-121C-4AC1-9145-0C779F54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Noto Sans Symbols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i/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i/>
      <w:color w:val="1155CC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.gov.br/sancoes/ceis?ordenarPor=nome&amp;direcao=a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trt12.jus.b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Edileia M. B. Teske</dc:creator>
  <cp:lastModifiedBy>Hamilton Firminio Martins</cp:lastModifiedBy>
  <cp:revision>2</cp:revision>
  <dcterms:created xsi:type="dcterms:W3CDTF">2023-08-23T16:56:00Z</dcterms:created>
  <dcterms:modified xsi:type="dcterms:W3CDTF">2023-08-23T16:56:00Z</dcterms:modified>
</cp:coreProperties>
</file>