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1"/>
        <w:pageBreakBefore w:val="false"/>
        <w:spacing w:lineRule="auto" w:line="276" w:before="0" w:after="0"/>
        <w:jc w:val="both"/>
        <w:rPr>
          <w:b/>
          <w:b/>
          <w:sz w:val="24"/>
          <w:szCs w:val="24"/>
          <w:u w:val="single"/>
        </w:rPr>
      </w:pPr>
      <w:bookmarkStart w:id="0" w:name="_gjdgxs"/>
      <w:bookmarkStart w:id="1" w:name="_gjdgxs"/>
      <w:bookmarkEnd w:id="1"/>
      <w:r>
        <w:rPr>
          <w:b/>
          <w:sz w:val="24"/>
          <w:szCs w:val="24"/>
          <w:u w:val="single"/>
        </w:rPr>
      </w:r>
    </w:p>
    <w:p>
      <w:pPr>
        <w:pStyle w:val="Ttulo1"/>
        <w:pageBreakBefore w:val="false"/>
        <w:spacing w:lineRule="auto" w:line="276" w:before="0" w:after="0"/>
        <w:jc w:val="center"/>
        <w:rPr>
          <w:b/>
          <w:b/>
          <w:sz w:val="32"/>
          <w:szCs w:val="32"/>
          <w:u w:val="single"/>
        </w:rPr>
      </w:pPr>
      <w:bookmarkStart w:id="2" w:name="_30j0zll"/>
      <w:bookmarkEnd w:id="2"/>
      <w:r>
        <w:rPr>
          <w:b/>
          <w:sz w:val="32"/>
          <w:szCs w:val="32"/>
          <w:u w:val="single"/>
        </w:rPr>
        <w:t>TERMO DE REFERÊNCIA</w:t>
      </w:r>
    </w:p>
    <w:p>
      <w:pPr>
        <w:pStyle w:val="Ttulo1"/>
        <w:pageBreakBefore w:val="false"/>
        <w:spacing w:lineRule="auto" w:line="276" w:before="0" w:after="0"/>
        <w:jc w:val="center"/>
        <w:rPr>
          <w:b/>
          <w:b/>
          <w:sz w:val="28"/>
          <w:szCs w:val="28"/>
          <w:u w:val="single"/>
        </w:rPr>
      </w:pPr>
      <w:bookmarkStart w:id="3" w:name="_1fob9te"/>
      <w:bookmarkStart w:id="4" w:name="_1fob9te"/>
      <w:bookmarkEnd w:id="4"/>
      <w:r>
        <w:rPr>
          <w:b/>
          <w:sz w:val="28"/>
          <w:szCs w:val="28"/>
          <w:u w:val="single"/>
        </w:rPr>
      </w:r>
    </w:p>
    <w:p>
      <w:pPr>
        <w:pStyle w:val="Ttulo1"/>
        <w:pageBreakBefore w:val="false"/>
        <w:spacing w:lineRule="auto" w:line="276" w:before="0" w:after="0"/>
        <w:jc w:val="center"/>
        <w:rPr>
          <w:b/>
          <w:b/>
          <w:sz w:val="28"/>
          <w:szCs w:val="28"/>
          <w:u w:val="single"/>
        </w:rPr>
      </w:pPr>
      <w:bookmarkStart w:id="5" w:name="_3znysh7"/>
      <w:bookmarkEnd w:id="5"/>
      <w:r>
        <w:rPr>
          <w:b/>
          <w:sz w:val="28"/>
          <w:szCs w:val="28"/>
          <w:u w:val="single"/>
        </w:rPr>
        <w:t>CONTRATAÇÃO DE SERVIÇOS COMUNS DE ENGENHARIA ou de MANUTENÇÃO DE VEÍCULOS - Valor inferior a R$ 114.416,65;</w:t>
      </w:r>
    </w:p>
    <w:p>
      <w:pPr>
        <w:pStyle w:val="Ttulo1"/>
        <w:pageBreakBefore w:val="false"/>
        <w:spacing w:lineRule="auto" w:line="276" w:before="0" w:after="0"/>
        <w:jc w:val="center"/>
        <w:rPr>
          <w:b/>
          <w:b/>
          <w:sz w:val="28"/>
          <w:szCs w:val="28"/>
          <w:u w:val="single"/>
        </w:rPr>
      </w:pPr>
      <w:bookmarkStart w:id="6" w:name="_2et92p0"/>
      <w:bookmarkStart w:id="7" w:name="_2et92p0"/>
      <w:bookmarkEnd w:id="7"/>
      <w:r>
        <w:rPr>
          <w:b/>
          <w:sz w:val="28"/>
          <w:szCs w:val="28"/>
          <w:u w:val="single"/>
        </w:rPr>
      </w:r>
    </w:p>
    <w:p>
      <w:pPr>
        <w:pStyle w:val="Ttulo1"/>
        <w:pageBreakBefore w:val="false"/>
        <w:spacing w:lineRule="auto" w:line="276" w:before="0" w:after="0"/>
        <w:jc w:val="center"/>
        <w:rPr>
          <w:b/>
          <w:b/>
          <w:sz w:val="28"/>
          <w:szCs w:val="28"/>
          <w:u w:val="single"/>
        </w:rPr>
      </w:pPr>
      <w:bookmarkStart w:id="8" w:name="_tyjcwt"/>
      <w:bookmarkEnd w:id="8"/>
      <w:r>
        <w:rPr>
          <w:b/>
          <w:sz w:val="28"/>
          <w:szCs w:val="28"/>
          <w:u w:val="single"/>
        </w:rPr>
        <w:t>DEMAIS SERVIÇOS e AQUISIÇÕES COM FORNECIMENTO CONTINUADO -  Valor inferior a R$  57.208,33*;</w:t>
      </w:r>
    </w:p>
    <w:p>
      <w:pPr>
        <w:pStyle w:val="Ttulo1"/>
        <w:pageBreakBefore w:val="false"/>
        <w:spacing w:lineRule="auto" w:line="276" w:before="0" w:after="0"/>
        <w:jc w:val="both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Ttulo1"/>
        <w:spacing w:lineRule="auto" w:line="276" w:before="0" w:after="0"/>
        <w:jc w:val="both"/>
        <w:rPr>
          <w:color w:val="00B0F0"/>
          <w:sz w:val="24"/>
          <w:szCs w:val="24"/>
        </w:rPr>
      </w:pPr>
      <w:bookmarkStart w:id="9" w:name="_1t3h5sf"/>
      <w:bookmarkStart w:id="10" w:name="_1t3h5sf"/>
      <w:bookmarkEnd w:id="10"/>
      <w:r>
        <w:rPr>
          <w:color w:val="00B0F0"/>
          <w:sz w:val="24"/>
          <w:szCs w:val="24"/>
        </w:rPr>
      </w:r>
    </w:p>
    <w:p>
      <w:pPr>
        <w:pStyle w:val="Ttulo1"/>
        <w:spacing w:lineRule="auto" w:line="276" w:before="0" w:after="0"/>
        <w:jc w:val="right"/>
        <w:rPr>
          <w:b/>
          <w:b/>
          <w:sz w:val="24"/>
          <w:szCs w:val="24"/>
        </w:rPr>
      </w:pPr>
      <w:bookmarkStart w:id="11" w:name="_4d34og8"/>
      <w:bookmarkEnd w:id="11"/>
      <w:r>
        <w:rPr>
          <w:b/>
          <w:color w:val="000001"/>
          <w:sz w:val="24"/>
          <w:szCs w:val="24"/>
        </w:rPr>
        <w:t xml:space="preserve">PROAD </w:t>
      </w:r>
      <w:r>
        <w:rPr>
          <w:b/>
          <w:sz w:val="24"/>
          <w:szCs w:val="24"/>
        </w:rPr>
        <w:t>15285/2023</w:t>
      </w:r>
    </w:p>
    <w:p>
      <w:pPr>
        <w:pStyle w:val="Normal"/>
        <w:rPr/>
      </w:pPr>
      <w:r>
        <w:rPr/>
      </w:r>
    </w:p>
    <w:p>
      <w:pPr>
        <w:pStyle w:val="Normal"/>
        <w:pageBreakBefor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1 - Item identificador da demanda no PAC - Plano Anual de Contratações </w:t>
      </w:r>
    </w:p>
    <w:p>
      <w:pPr>
        <w:pStyle w:val="Normal"/>
        <w:pageBreakBefor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hanging="0"/>
        <w:jc w:val="both"/>
        <w:rPr>
          <w:sz w:val="24"/>
          <w:szCs w:val="24"/>
        </w:rPr>
      </w:pPr>
      <w:r>
        <w:rPr>
          <w:b/>
          <w:sz w:val="24"/>
          <w:szCs w:val="24"/>
        </w:rPr>
        <w:t>Item:</w:t>
      </w:r>
      <w:r>
        <w:rPr>
          <w:sz w:val="24"/>
          <w:szCs w:val="24"/>
        </w:rPr>
        <w:t xml:space="preserve"> 02021 - PAC COFJUR</w:t>
      </w:r>
    </w:p>
    <w:p>
      <w:pPr>
        <w:pStyle w:val="Normal"/>
        <w:ind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Objeto: </w:t>
      </w:r>
      <w:r>
        <w:rPr>
          <w:sz w:val="24"/>
          <w:szCs w:val="24"/>
        </w:rPr>
        <w:t>Contratação de serviço de transporte de passageiros para Reunião do Sistema Integrado de Formação de Magistrados e I Encontro das Escolas Judiciais da Região Sul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ageBreakBefore w:val="false"/>
        <w:spacing w:lineRule="auto" w:line="276"/>
        <w:jc w:val="both"/>
        <w:rPr>
          <w:b/>
          <w:b/>
          <w:color w:val="00B0F0"/>
          <w:sz w:val="24"/>
          <w:szCs w:val="24"/>
        </w:rPr>
      </w:pPr>
      <w:r>
        <w:rPr>
          <w:b/>
          <w:color w:val="00B0F0"/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b/>
          <w:sz w:val="28"/>
          <w:szCs w:val="28"/>
        </w:rPr>
        <w:t>2 - Unidade Demandante e Unidade Gestora de Orçamento</w:t>
      </w:r>
    </w:p>
    <w:p>
      <w:pPr>
        <w:pStyle w:val="Normal"/>
        <w:spacing w:lineRule="auto" w:line="276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76"/>
        <w:jc w:val="both"/>
        <w:rPr>
          <w:b/>
          <w:b/>
          <w:color w:val="0084D1"/>
          <w:sz w:val="24"/>
          <w:szCs w:val="24"/>
        </w:rPr>
      </w:pPr>
      <w:r>
        <w:rPr>
          <w:b/>
          <w:sz w:val="24"/>
          <w:szCs w:val="24"/>
        </w:rPr>
        <w:t>Unidade Demandante:</w:t>
      </w:r>
      <w:r>
        <w:rPr>
          <w:b/>
          <w:color w:val="0084D1"/>
          <w:sz w:val="24"/>
          <w:szCs w:val="24"/>
        </w:rPr>
        <w:t> </w:t>
      </w:r>
      <w:r>
        <w:rPr>
          <w:sz w:val="24"/>
          <w:szCs w:val="24"/>
        </w:rPr>
        <w:t>Escola Judicial</w:t>
      </w:r>
    </w:p>
    <w:p>
      <w:pPr>
        <w:pStyle w:val="Normal"/>
        <w:spacing w:lineRule="auto" w:line="276"/>
        <w:jc w:val="both"/>
        <w:rPr>
          <w:b/>
          <w:b/>
          <w:color w:val="0084D1"/>
          <w:sz w:val="24"/>
          <w:szCs w:val="24"/>
        </w:rPr>
      </w:pPr>
      <w:r>
        <w:rPr>
          <w:b/>
          <w:color w:val="0084D1"/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Unidade Gestora de Orçamento: </w:t>
      </w:r>
      <w:r>
        <w:rPr>
          <w:sz w:val="24"/>
          <w:szCs w:val="24"/>
        </w:rPr>
        <w:t>Escola Judicial / COFJUR</w:t>
      </w:r>
    </w:p>
    <w:p>
      <w:pPr>
        <w:pStyle w:val="Normal"/>
        <w:spacing w:lineRule="auto" w:line="276"/>
        <w:jc w:val="both"/>
        <w:rPr>
          <w:color w:val="00B0F0"/>
          <w:sz w:val="24"/>
          <w:szCs w:val="24"/>
        </w:rPr>
      </w:pPr>
      <w:r>
        <w:rPr>
          <w:color w:val="00B0F0"/>
          <w:sz w:val="24"/>
          <w:szCs w:val="24"/>
        </w:rPr>
      </w:r>
    </w:p>
    <w:p>
      <w:pPr>
        <w:pStyle w:val="Normal"/>
        <w:spacing w:lineRule="auto" w:line="276"/>
        <w:jc w:val="both"/>
        <w:rPr>
          <w:color w:val="00B0F0"/>
          <w:sz w:val="24"/>
          <w:szCs w:val="24"/>
        </w:rPr>
      </w:pPr>
      <w:r>
        <w:rPr>
          <w:color w:val="00B0F0"/>
          <w:sz w:val="24"/>
          <w:szCs w:val="24"/>
        </w:rPr>
      </w:r>
    </w:p>
    <w:p>
      <w:pPr>
        <w:pStyle w:val="Normal"/>
        <w:spacing w:lineRule="auto" w:line="276"/>
        <w:jc w:val="both"/>
        <w:rPr>
          <w:color w:val="00B0F0"/>
          <w:sz w:val="24"/>
          <w:szCs w:val="24"/>
        </w:rPr>
      </w:pPr>
      <w:r>
        <w:rPr>
          <w:color w:val="00B0F0"/>
          <w:sz w:val="24"/>
          <w:szCs w:val="24"/>
        </w:rPr>
      </w:r>
    </w:p>
    <w:p>
      <w:pPr>
        <w:pStyle w:val="Normal"/>
        <w:spacing w:lineRule="auto" w:line="276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3 - Justificativa e Fundamentação da Contratação</w:t>
      </w:r>
    </w:p>
    <w:p>
      <w:pPr>
        <w:pStyle w:val="Normal"/>
        <w:spacing w:lineRule="auto" w:line="276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76"/>
        <w:ind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Contratação de empresa para prestação de serviço de transporte para os participantes da </w:t>
      </w:r>
      <w:r>
        <w:rPr>
          <w:b/>
          <w:sz w:val="24"/>
          <w:szCs w:val="24"/>
        </w:rPr>
        <w:t xml:space="preserve">Reunião do </w:t>
      </w:r>
      <w:r>
        <w:rPr>
          <w:b/>
          <w:sz w:val="24"/>
          <w:szCs w:val="24"/>
          <w:shd w:fill="FFFFFF" w:val="clear"/>
        </w:rPr>
        <w:t>Sistema Integrado de Formação de Magistrados (SINFOMAT)</w:t>
      </w:r>
      <w:r>
        <w:rPr>
          <w:sz w:val="24"/>
          <w:szCs w:val="24"/>
          <w:shd w:fill="FFFFFF" w:val="clear"/>
        </w:rPr>
        <w:t>, da Escola Nacional de Formação e Aperfeiçoamento de Magistrados do Trabalho (ENAMAT)</w:t>
      </w:r>
      <w:r>
        <w:rPr>
          <w:sz w:val="24"/>
          <w:szCs w:val="24"/>
        </w:rPr>
        <w:t>, e para participantes do</w:t>
      </w:r>
      <w:r>
        <w:rPr>
          <w:b/>
          <w:sz w:val="24"/>
          <w:szCs w:val="24"/>
        </w:rPr>
        <w:t xml:space="preserve"> I Encontro das Escolas Judiciais da Região Sul</w:t>
      </w:r>
      <w:r>
        <w:rPr>
          <w:sz w:val="24"/>
          <w:szCs w:val="24"/>
        </w:rPr>
        <w:t>, organizado pelo Tribunal Regional do Trabalho da 12ª Região, em parceria com os TRTs da 4ª e 9ª Regiões, que acontecerá entre os dias 8 e 10 de novembro de 2023, em Florianópolis, com estimativa de até 120 participantes.</w:t>
      </w:r>
    </w:p>
    <w:p>
      <w:pPr>
        <w:pStyle w:val="Normal"/>
        <w:spacing w:lineRule="auto" w:line="276"/>
        <w:ind w:firstLine="56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ind w:firstLine="566"/>
        <w:jc w:val="both"/>
        <w:rPr>
          <w:sz w:val="24"/>
          <w:szCs w:val="24"/>
        </w:rPr>
      </w:pPr>
      <w:r>
        <w:rPr>
          <w:sz w:val="24"/>
          <w:szCs w:val="24"/>
        </w:rPr>
        <w:t>O serviço deve ser realizado do dia 7 ao dia 11 de novembro de 2023, incluindo um dia antes e um depois do evento, em razão das chegadas e partidas por meio aéreo, na véspera e no dia posterior ao evento.</w:t>
      </w:r>
    </w:p>
    <w:p>
      <w:pPr>
        <w:pStyle w:val="Normal"/>
        <w:spacing w:lineRule="auto" w:line="276"/>
        <w:ind w:firstLine="56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ind w:firstLine="566"/>
        <w:jc w:val="both"/>
        <w:rPr>
          <w:sz w:val="24"/>
          <w:szCs w:val="24"/>
        </w:rPr>
      </w:pPr>
      <w:r>
        <w:rPr>
          <w:sz w:val="24"/>
          <w:szCs w:val="24"/>
        </w:rPr>
        <w:t>Haverá transporte do aeroporto para os hotéis e vice-versa e para o local do evento e das atividades extras para os participantes da reunião do SINFOMAT e para os participantes do I Encontro.</w:t>
      </w:r>
    </w:p>
    <w:p>
      <w:pPr>
        <w:pStyle w:val="Normal"/>
        <w:spacing w:lineRule="auto" w:line="276"/>
        <w:ind w:firstLine="56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ind w:firstLine="566"/>
        <w:jc w:val="both"/>
        <w:rPr>
          <w:sz w:val="24"/>
          <w:szCs w:val="24"/>
          <w:shd w:fill="FFFFFF" w:val="clear"/>
        </w:rPr>
      </w:pPr>
      <w:r>
        <w:rPr>
          <w:sz w:val="24"/>
          <w:szCs w:val="24"/>
          <w:shd w:fill="FFFFFF" w:val="clear"/>
        </w:rPr>
        <w:t>Considerando o expressivo número de participantes e tendo em vista a atual frota do TRT-12ª Região, bem como o atual quadro de pessoal da área de  transporte, entendeu-se que a melhor maneira para prover o traslado necessário para a concretização do evento é com a contratação de serviço de fornecimento de transporte.</w:t>
      </w:r>
    </w:p>
    <w:p>
      <w:pPr>
        <w:pStyle w:val="Normal"/>
        <w:spacing w:lineRule="auto" w:line="276"/>
        <w:ind w:firstLine="56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ind w:firstLine="566"/>
        <w:jc w:val="both"/>
        <w:rPr>
          <w:b/>
          <w:b/>
          <w:sz w:val="24"/>
          <w:szCs w:val="24"/>
        </w:rPr>
      </w:pPr>
      <w:r>
        <w:rPr>
          <w:sz w:val="24"/>
          <w:szCs w:val="24"/>
        </w:rPr>
        <w:t>Considerando que as inscrições dos participantes ficarão sob a responsabilidade de cada Escola, ficando impraticável garantir com antecedência a situação individualizada de voo e hospedagem de cada participante, entendeu-se ser mais seguro a contratação de transporte por diária e não por trechos, ficando a organização dos traslados centralizada na Secretaria de Segurança Institucional.</w:t>
      </w:r>
    </w:p>
    <w:p>
      <w:pPr>
        <w:pStyle w:val="Normal"/>
        <w:spacing w:lineRule="auto" w:line="276"/>
        <w:ind w:firstLine="566"/>
        <w:jc w:val="both"/>
        <w:rPr>
          <w:sz w:val="24"/>
          <w:szCs w:val="24"/>
          <w:shd w:fill="FFFFFF" w:val="clear"/>
        </w:rPr>
      </w:pPr>
      <w:r>
        <w:rPr>
          <w:sz w:val="24"/>
          <w:szCs w:val="24"/>
          <w:shd w:fill="FFFFFF" w:val="clear"/>
        </w:rPr>
      </w:r>
    </w:p>
    <w:p>
      <w:pPr>
        <w:pStyle w:val="Normal"/>
        <w:spacing w:lineRule="auto" w:line="276"/>
        <w:ind w:firstLine="566"/>
        <w:jc w:val="both"/>
        <w:rPr>
          <w:sz w:val="24"/>
          <w:szCs w:val="24"/>
          <w:shd w:fill="FFFFFF" w:val="clear"/>
        </w:rPr>
      </w:pPr>
      <w:r>
        <w:rPr>
          <w:sz w:val="24"/>
          <w:szCs w:val="24"/>
          <w:shd w:fill="FFFFFF" w:val="clear"/>
        </w:rPr>
        <w:t xml:space="preserve">A contratação de transporte para o I Encontro é uma alternativa a fim de garantir a qualidade do evento, facilitando o trajeto dos convidados, proporcionando mais segurança e comodidade. Por isso, esse serviço se torna indispensável, tendo em vista que os participantes, magistradas e magistrados vêm de diferentes regiões do País. </w:t>
      </w:r>
    </w:p>
    <w:p>
      <w:pPr>
        <w:pStyle w:val="Normal"/>
        <w:spacing w:lineRule="auto" w:line="276"/>
        <w:ind w:firstLine="566"/>
        <w:jc w:val="both"/>
        <w:rPr>
          <w:sz w:val="24"/>
          <w:szCs w:val="24"/>
          <w:shd w:fill="FFFFFF" w:val="clear"/>
        </w:rPr>
      </w:pPr>
      <w:r>
        <w:rPr>
          <w:sz w:val="24"/>
          <w:szCs w:val="24"/>
          <w:shd w:fill="FFFFFF" w:val="clear"/>
        </w:rPr>
      </w:r>
    </w:p>
    <w:p>
      <w:pPr>
        <w:pStyle w:val="Normal"/>
        <w:spacing w:lineRule="auto" w:line="276"/>
        <w:ind w:firstLine="566"/>
        <w:jc w:val="both"/>
        <w:rPr>
          <w:sz w:val="24"/>
          <w:szCs w:val="24"/>
          <w:shd w:fill="FFFFFF" w:val="clear"/>
        </w:rPr>
      </w:pPr>
      <w:r>
        <w:rPr>
          <w:sz w:val="24"/>
          <w:szCs w:val="24"/>
          <w:shd w:fill="FFFFFF" w:val="clear"/>
        </w:rPr>
        <w:t xml:space="preserve">A contratação também impacta positivamente no sucesso do evento, especialmente na pontualidade, refletindo num maior controle em relação à diminuição de tempos de atraso e, ainda, possibilita uma maior integração dos participantes. </w:t>
      </w:r>
    </w:p>
    <w:p>
      <w:pPr>
        <w:pStyle w:val="Normal"/>
        <w:spacing w:lineRule="auto" w:line="276"/>
        <w:ind w:firstLine="56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ind w:firstLine="566"/>
        <w:jc w:val="both"/>
        <w:rPr>
          <w:sz w:val="24"/>
          <w:szCs w:val="24"/>
          <w:shd w:fill="FFFFFF" w:val="clear"/>
        </w:rPr>
      </w:pPr>
      <w:r>
        <w:rPr>
          <w:sz w:val="24"/>
          <w:szCs w:val="24"/>
          <w:shd w:fill="FFFFFF" w:val="clear"/>
        </w:rPr>
        <w:t xml:space="preserve"> </w:t>
      </w:r>
      <w:r>
        <w:rPr>
          <w:sz w:val="24"/>
          <w:szCs w:val="24"/>
          <w:shd w:fill="FFFFFF" w:val="clear"/>
        </w:rPr>
        <w:t>A contratação visa dar suporte ao I Encontro das Escolas do Sul, calcado num convênio de cooperação entre as Escolas Judiciais dos TRTs da 4, 9º e 12ª Regiões. Assim, está alinhado com os seguintes objetivos institucionais: Fortalecer a comunicação e as parcerias institucionais e Aprimorar a Gestão de Pessoas.</w:t>
      </w:r>
    </w:p>
    <w:p>
      <w:pPr>
        <w:pStyle w:val="Normal"/>
        <w:spacing w:lineRule="auto" w:line="276"/>
        <w:ind w:firstLine="566"/>
        <w:jc w:val="both"/>
        <w:rPr>
          <w:sz w:val="24"/>
          <w:szCs w:val="24"/>
          <w:shd w:fill="FFFFFF" w:val="clear"/>
        </w:rPr>
      </w:pPr>
      <w:r>
        <w:rPr>
          <w:sz w:val="24"/>
          <w:szCs w:val="24"/>
          <w:shd w:fill="FFFFFF" w:val="clear"/>
        </w:rPr>
      </w:r>
    </w:p>
    <w:p>
      <w:pPr>
        <w:pStyle w:val="Normal"/>
        <w:spacing w:lineRule="auto" w:line="276"/>
        <w:ind w:firstLine="566"/>
        <w:jc w:val="both"/>
        <w:rPr>
          <w:sz w:val="24"/>
          <w:szCs w:val="24"/>
          <w:shd w:fill="FFFFFF" w:val="clear"/>
        </w:rPr>
      </w:pPr>
      <w:r>
        <w:rPr>
          <w:sz w:val="24"/>
          <w:szCs w:val="24"/>
          <w:shd w:fill="FFFFFF" w:val="clear"/>
        </w:rPr>
      </w:r>
    </w:p>
    <w:p>
      <w:pPr>
        <w:pStyle w:val="Normal"/>
        <w:spacing w:lineRule="auto" w:line="276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4 - Descrição da Solução (Objeto)</w:t>
      </w:r>
    </w:p>
    <w:p>
      <w:pPr>
        <w:pStyle w:val="Normal"/>
        <w:spacing w:lineRule="auto" w:line="276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76"/>
        <w:jc w:val="both"/>
        <w:rPr>
          <w:b/>
          <w:b/>
          <w:color w:val="0084D1"/>
          <w:sz w:val="24"/>
          <w:szCs w:val="24"/>
        </w:rPr>
      </w:pPr>
      <w:r>
        <w:rPr>
          <w:b/>
          <w:sz w:val="24"/>
          <w:szCs w:val="24"/>
        </w:rPr>
        <w:t>Resumo do objeto:</w:t>
      </w:r>
      <w:r>
        <w:rPr>
          <w:b/>
          <w:color w:val="0084D1"/>
          <w:sz w:val="24"/>
          <w:szCs w:val="24"/>
        </w:rPr>
        <w:t> </w:t>
      </w:r>
    </w:p>
    <w:p>
      <w:pPr>
        <w:pStyle w:val="Normal"/>
        <w:spacing w:lineRule="auto" w:line="276"/>
        <w:jc w:val="both"/>
        <w:rPr>
          <w:b/>
          <w:b/>
          <w:color w:val="0084D1"/>
          <w:sz w:val="24"/>
          <w:szCs w:val="24"/>
        </w:rPr>
      </w:pPr>
      <w:r>
        <w:rPr>
          <w:b/>
          <w:color w:val="0084D1"/>
          <w:sz w:val="24"/>
          <w:szCs w:val="24"/>
        </w:rPr>
      </w:r>
    </w:p>
    <w:p>
      <w:pPr>
        <w:pStyle w:val="Normal"/>
        <w:spacing w:lineRule="auto" w:line="276"/>
        <w:ind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Serviço de transporte para os participantes da Reunião do </w:t>
      </w:r>
      <w:r>
        <w:rPr>
          <w:sz w:val="24"/>
          <w:szCs w:val="24"/>
          <w:shd w:fill="FFFFFF" w:val="clear"/>
        </w:rPr>
        <w:t>Sistema Integrado de Formação de Magistrados (SINFOMAT)</w:t>
      </w:r>
      <w:r>
        <w:rPr>
          <w:sz w:val="24"/>
          <w:szCs w:val="24"/>
        </w:rPr>
        <w:t xml:space="preserve"> e do I Encontro das Escolas Judiciais da Região Sul que acontecerá entre os dias 8 e 10 de novembro de 2023, em Florianópolis, com estimativa de até 120 participantes.</w:t>
      </w:r>
    </w:p>
    <w:p>
      <w:pPr>
        <w:pStyle w:val="Normal"/>
        <w:spacing w:lineRule="auto" w:line="276"/>
        <w:ind w:firstLine="56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ind w:firstLine="566"/>
        <w:jc w:val="both"/>
        <w:rPr>
          <w:sz w:val="24"/>
          <w:szCs w:val="24"/>
        </w:rPr>
      </w:pPr>
      <w:r>
        <w:rPr>
          <w:sz w:val="24"/>
          <w:szCs w:val="24"/>
        </w:rPr>
        <w:t>O serviço deve ser realizado do dia 7 ao dia 11 de novembro de 2023, incluindo um dia antes e um depois do evento, em razão das chegadas e partidas por meio aéreo, na véspera e no dia posterior ao evento.</w:t>
      </w:r>
    </w:p>
    <w:p>
      <w:pPr>
        <w:pStyle w:val="Normal"/>
        <w:spacing w:lineRule="auto" w:line="276"/>
        <w:jc w:val="both"/>
        <w:rPr>
          <w:b/>
          <w:b/>
          <w:color w:val="00B0F0"/>
          <w:sz w:val="24"/>
          <w:szCs w:val="24"/>
        </w:rPr>
      </w:pPr>
      <w:r>
        <w:rPr>
          <w:b/>
          <w:color w:val="00B0F0"/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Especificação detalhada do objeto:</w:t>
      </w:r>
    </w:p>
    <w:p>
      <w:pPr>
        <w:pStyle w:val="Normal"/>
        <w:spacing w:lineRule="auto" w:line="276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76"/>
        <w:ind w:firstLine="566"/>
        <w:jc w:val="both"/>
        <w:rPr>
          <w:sz w:val="24"/>
          <w:szCs w:val="24"/>
        </w:rPr>
      </w:pPr>
      <w:r>
        <w:rPr>
          <w:sz w:val="24"/>
          <w:szCs w:val="24"/>
        </w:rPr>
        <w:t>Serviço de</w:t>
      </w:r>
      <w:r>
        <w:rPr>
          <w:b/>
          <w:sz w:val="24"/>
          <w:szCs w:val="24"/>
        </w:rPr>
        <w:t xml:space="preserve"> transporte de pessoas</w:t>
      </w:r>
      <w:r>
        <w:rPr>
          <w:sz w:val="24"/>
          <w:szCs w:val="24"/>
        </w:rPr>
        <w:t>, com disponibilidade dos veículos por diária (</w:t>
      </w:r>
      <w:r>
        <w:rPr>
          <w:b/>
          <w:sz w:val="24"/>
          <w:szCs w:val="24"/>
        </w:rPr>
        <w:t>12 horas por dia</w:t>
      </w:r>
      <w:r>
        <w:rPr>
          <w:sz w:val="24"/>
          <w:szCs w:val="24"/>
        </w:rPr>
        <w:t>), com motorista devidamente habilitado e uniformizado, para atendimento de trechos a serem definidos entre aeroporto e região central de Florianópolis/SC.</w:t>
      </w:r>
    </w:p>
    <w:p>
      <w:pPr>
        <w:pStyle w:val="Normal"/>
        <w:spacing w:lineRule="auto" w:line="276"/>
        <w:ind w:firstLine="56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ind w:firstLine="566"/>
        <w:jc w:val="both"/>
        <w:rPr>
          <w:sz w:val="24"/>
          <w:szCs w:val="24"/>
        </w:rPr>
      </w:pPr>
      <w:r>
        <w:rPr>
          <w:sz w:val="24"/>
          <w:szCs w:val="24"/>
        </w:rPr>
        <w:t>Os tipos de veículos, quantidades e datas estão descritos abaixo:</w:t>
      </w:r>
    </w:p>
    <w:p>
      <w:pPr>
        <w:pStyle w:val="Normal"/>
        <w:spacing w:lineRule="auto" w:line="276"/>
        <w:ind w:firstLine="56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fill="FFFFFF"/>
        <w:spacing w:lineRule="auto" w:line="276"/>
        <w:ind w:firstLine="566"/>
        <w:jc w:val="both"/>
        <w:rPr>
          <w:b/>
          <w:b/>
          <w:color w:val="222222"/>
          <w:sz w:val="24"/>
          <w:szCs w:val="24"/>
          <w:u w:val="single"/>
        </w:rPr>
      </w:pPr>
      <w:r>
        <w:rPr>
          <w:b/>
          <w:color w:val="222222"/>
          <w:sz w:val="24"/>
          <w:szCs w:val="24"/>
          <w:u w:val="single"/>
        </w:rPr>
        <w:t xml:space="preserve">Dia 7/11 e dia 11/11/2023: </w:t>
      </w:r>
    </w:p>
    <w:p>
      <w:pPr>
        <w:pStyle w:val="Normal"/>
        <w:numPr>
          <w:ilvl w:val="0"/>
          <w:numId w:val="8"/>
        </w:numPr>
        <w:spacing w:lineRule="auto" w:line="276" w:before="200" w:afterAutospacing="0" w:after="0"/>
        <w:ind w:left="940" w:hanging="360"/>
        <w:rPr>
          <w:sz w:val="24"/>
          <w:szCs w:val="24"/>
        </w:rPr>
      </w:pPr>
      <w:r>
        <w:rPr>
          <w:color w:val="222222"/>
          <w:sz w:val="24"/>
          <w:szCs w:val="24"/>
        </w:rPr>
        <w:t>3 carros executivos (mínimo 3 passageiros cada)</w:t>
      </w:r>
    </w:p>
    <w:p>
      <w:pPr>
        <w:pStyle w:val="Normal"/>
        <w:numPr>
          <w:ilvl w:val="0"/>
          <w:numId w:val="8"/>
        </w:numPr>
        <w:spacing w:lineRule="auto" w:line="276" w:beforeAutospacing="0" w:before="0" w:after="200"/>
        <w:ind w:left="940" w:hanging="360"/>
        <w:rPr>
          <w:sz w:val="24"/>
          <w:szCs w:val="24"/>
        </w:rPr>
      </w:pPr>
      <w:r>
        <w:rPr>
          <w:color w:val="222222"/>
          <w:sz w:val="24"/>
          <w:szCs w:val="24"/>
        </w:rPr>
        <w:t>3 vans (mínimo 15 passageiros cada)</w:t>
      </w:r>
    </w:p>
    <w:p>
      <w:pPr>
        <w:pStyle w:val="Normal"/>
        <w:spacing w:lineRule="auto" w:line="276" w:before="200" w:after="200"/>
        <w:ind w:left="720" w:hanging="0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</w:r>
    </w:p>
    <w:p>
      <w:pPr>
        <w:pStyle w:val="Normal"/>
        <w:shd w:val="clear" w:fill="FFFFFF"/>
        <w:spacing w:lineRule="auto" w:line="276"/>
        <w:ind w:firstLine="566"/>
        <w:jc w:val="both"/>
        <w:rPr>
          <w:color w:val="222222"/>
          <w:sz w:val="24"/>
          <w:szCs w:val="24"/>
        </w:rPr>
      </w:pPr>
      <w:r>
        <w:rPr>
          <w:b/>
          <w:color w:val="222222"/>
          <w:sz w:val="24"/>
          <w:szCs w:val="24"/>
          <w:u w:val="single"/>
        </w:rPr>
        <w:t>Dias 8, 9 e 10/11/2023:</w:t>
      </w:r>
    </w:p>
    <w:p>
      <w:pPr>
        <w:pStyle w:val="Normal"/>
        <w:numPr>
          <w:ilvl w:val="0"/>
          <w:numId w:val="1"/>
        </w:numPr>
        <w:spacing w:lineRule="auto" w:line="276" w:before="200" w:afterAutospacing="0" w:after="0"/>
        <w:ind w:left="940" w:hanging="360"/>
        <w:rPr>
          <w:sz w:val="24"/>
          <w:szCs w:val="24"/>
        </w:rPr>
      </w:pPr>
      <w:r>
        <w:rPr>
          <w:color w:val="222222"/>
          <w:sz w:val="24"/>
          <w:szCs w:val="24"/>
        </w:rPr>
        <w:t>3 carros executivos (mínimo 3 passageiros cada)</w:t>
      </w:r>
    </w:p>
    <w:p>
      <w:pPr>
        <w:pStyle w:val="Normal"/>
        <w:numPr>
          <w:ilvl w:val="0"/>
          <w:numId w:val="1"/>
        </w:numPr>
        <w:spacing w:lineRule="auto" w:line="276" w:beforeAutospacing="0" w:before="0" w:afterAutospacing="0" w:after="0"/>
        <w:ind w:left="940" w:hanging="360"/>
        <w:rPr>
          <w:sz w:val="24"/>
          <w:szCs w:val="24"/>
        </w:rPr>
      </w:pPr>
      <w:r>
        <w:rPr>
          <w:color w:val="222222"/>
          <w:sz w:val="24"/>
          <w:szCs w:val="24"/>
        </w:rPr>
        <w:t>1 van (mínimo 15 passageiros cada)</w:t>
      </w:r>
    </w:p>
    <w:p>
      <w:pPr>
        <w:pStyle w:val="Normal"/>
        <w:numPr>
          <w:ilvl w:val="0"/>
          <w:numId w:val="1"/>
        </w:numPr>
        <w:spacing w:lineRule="auto" w:line="276" w:beforeAutospacing="0" w:before="0" w:after="200"/>
        <w:ind w:left="940" w:hanging="360"/>
        <w:rPr>
          <w:sz w:val="24"/>
          <w:szCs w:val="24"/>
        </w:rPr>
      </w:pPr>
      <w:r>
        <w:rPr>
          <w:color w:val="222222"/>
          <w:sz w:val="24"/>
          <w:szCs w:val="24"/>
        </w:rPr>
        <w:t>4 micro ônibus (mínimo 25 passageiros cada)</w:t>
      </w:r>
    </w:p>
    <w:p>
      <w:pPr>
        <w:pStyle w:val="Normal"/>
        <w:spacing w:lineRule="auto" w:line="276"/>
        <w:ind w:firstLine="56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ind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Considerando que parte do serviço será executado na chegada dos participantes no Aeroporto Internacional de Florianópolis, nos dias </w:t>
      </w:r>
      <w:r>
        <w:rPr>
          <w:b/>
          <w:sz w:val="24"/>
          <w:szCs w:val="24"/>
        </w:rPr>
        <w:t>7 e 8 de novembro de 2023</w:t>
      </w:r>
      <w:r>
        <w:rPr>
          <w:sz w:val="24"/>
          <w:szCs w:val="24"/>
        </w:rPr>
        <w:t xml:space="preserve">, as empresas devem também se responsabilizar pela recepção dessas pessoas e encaminhamento aos veículos que farão o transporte, sendo necessário, dessa forma, o </w:t>
      </w:r>
      <w:r>
        <w:rPr>
          <w:b/>
          <w:sz w:val="24"/>
          <w:szCs w:val="24"/>
        </w:rPr>
        <w:t>serviço de recepcionista</w:t>
      </w:r>
      <w:r>
        <w:rPr>
          <w:sz w:val="24"/>
          <w:szCs w:val="24"/>
        </w:rPr>
        <w:t xml:space="preserve"> nos respectivos dias, pelo período de </w:t>
      </w:r>
      <w:r>
        <w:rPr>
          <w:b/>
          <w:sz w:val="24"/>
          <w:szCs w:val="24"/>
        </w:rPr>
        <w:t>12 horas por dia</w:t>
      </w:r>
      <w:r>
        <w:rPr>
          <w:sz w:val="24"/>
          <w:szCs w:val="24"/>
        </w:rPr>
        <w:t xml:space="preserve">. Entende-se que para que o serviço seja prestado de forma efetiva, se faz necessário o número de </w:t>
      </w:r>
      <w:r>
        <w:rPr>
          <w:b/>
          <w:sz w:val="24"/>
          <w:szCs w:val="24"/>
        </w:rPr>
        <w:t>2 recepcionistas em cada um dos dias</w:t>
      </w:r>
      <w:r>
        <w:rPr>
          <w:sz w:val="24"/>
          <w:szCs w:val="24"/>
        </w:rPr>
        <w:t>, para que possam receber os participantes, conduzi-los até os veículos disponíveis e coordenar a saída dos veículos.</w:t>
      </w:r>
    </w:p>
    <w:p>
      <w:pPr>
        <w:pStyle w:val="Normal"/>
        <w:spacing w:lineRule="auto" w:line="276"/>
        <w:ind w:firstLine="56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ind w:firstLine="56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ATENÇÃO:</w:t>
      </w:r>
    </w:p>
    <w:p>
      <w:pPr>
        <w:pStyle w:val="Normal"/>
        <w:spacing w:lineRule="auto" w:line="276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numPr>
          <w:ilvl w:val="0"/>
          <w:numId w:val="14"/>
        </w:numPr>
        <w:spacing w:lineRule="auto" w:line="276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Os veículos devem possuir ar condicionado;</w:t>
      </w:r>
    </w:p>
    <w:p>
      <w:pPr>
        <w:pStyle w:val="Normal"/>
        <w:numPr>
          <w:ilvl w:val="0"/>
          <w:numId w:val="14"/>
        </w:numPr>
        <w:spacing w:lineRule="auto" w:line="276"/>
        <w:ind w:left="720" w:hanging="360"/>
        <w:jc w:val="both"/>
        <w:rPr>
          <w:sz w:val="24"/>
          <w:szCs w:val="24"/>
          <w:u w:val="none"/>
        </w:rPr>
      </w:pPr>
      <w:r>
        <w:rPr>
          <w:sz w:val="24"/>
          <w:szCs w:val="24"/>
        </w:rPr>
        <w:t>Motoristas e recepcionista devem estar uniformizados, de forma a facilitar a identificação;</w:t>
      </w:r>
    </w:p>
    <w:p>
      <w:pPr>
        <w:pStyle w:val="Normal"/>
        <w:numPr>
          <w:ilvl w:val="0"/>
          <w:numId w:val="14"/>
        </w:numPr>
        <w:spacing w:lineRule="auto" w:line="276"/>
        <w:ind w:left="720" w:hanging="360"/>
        <w:jc w:val="both"/>
        <w:rPr>
          <w:sz w:val="24"/>
          <w:szCs w:val="24"/>
          <w:u w:val="none"/>
        </w:rPr>
      </w:pPr>
      <w:r>
        <w:rPr>
          <w:sz w:val="24"/>
          <w:szCs w:val="24"/>
        </w:rPr>
        <w:t>A planilha com os horários de voos e hospedagem será disponibilizada antecipadamente pelo contratante para logística da empresa.</w:t>
      </w:r>
    </w:p>
    <w:p>
      <w:pPr>
        <w:pStyle w:val="Normal"/>
        <w:pageBreakBefore w:val="false"/>
        <w:spacing w:lineRule="auto" w:line="276"/>
        <w:jc w:val="both"/>
        <w:rPr>
          <w:color w:val="00B0F0"/>
          <w:sz w:val="24"/>
          <w:szCs w:val="24"/>
        </w:rPr>
      </w:pPr>
      <w:r>
        <w:rPr>
          <w:color w:val="00B0F0"/>
          <w:sz w:val="24"/>
          <w:szCs w:val="24"/>
        </w:rPr>
      </w:r>
    </w:p>
    <w:p>
      <w:pPr>
        <w:pStyle w:val="Normal"/>
        <w:pageBreakBefore w:val="false"/>
        <w:spacing w:lineRule="auto" w:line="276"/>
        <w:jc w:val="both"/>
        <w:rPr>
          <w:color w:val="00B0F0"/>
          <w:sz w:val="24"/>
          <w:szCs w:val="24"/>
        </w:rPr>
      </w:pPr>
      <w:r>
        <w:rPr>
          <w:color w:val="00B0F0"/>
          <w:sz w:val="24"/>
          <w:szCs w:val="24"/>
        </w:rPr>
      </w:r>
    </w:p>
    <w:p>
      <w:pPr>
        <w:pStyle w:val="Normal"/>
        <w:pageBreakBefore w:val="false"/>
        <w:spacing w:lineRule="auto" w:line="276"/>
        <w:jc w:val="both"/>
        <w:rPr>
          <w:color w:val="00B0F0"/>
          <w:sz w:val="24"/>
          <w:szCs w:val="24"/>
        </w:rPr>
      </w:pPr>
      <w:r>
        <w:rPr>
          <w:color w:val="00B0F0"/>
          <w:sz w:val="24"/>
          <w:szCs w:val="24"/>
        </w:rPr>
      </w:r>
    </w:p>
    <w:p>
      <w:pPr>
        <w:pStyle w:val="Normal"/>
        <w:spacing w:lineRule="auto" w:line="276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5 - Sustentabilidade</w:t>
      </w:r>
    </w:p>
    <w:p>
      <w:pPr>
        <w:pStyle w:val="Normal"/>
        <w:spacing w:lineRule="auto" w:line="276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pageBreakBefore w:val="false"/>
        <w:spacing w:lineRule="auto" w:line="276"/>
        <w:ind w:firstLine="566"/>
        <w:jc w:val="both"/>
        <w:rPr>
          <w:sz w:val="24"/>
          <w:szCs w:val="24"/>
        </w:rPr>
      </w:pPr>
      <w:r>
        <w:rPr>
          <w:sz w:val="24"/>
          <w:szCs w:val="24"/>
        </w:rPr>
        <w:t>Em atendimento ao disposto nas IN’s nº 01/2010 e 05/2017 da SLTI/MPOG a CONTRATADA deverá adotar as seguintes práticas de sustentabilidade ambiental na execução dos serviços:</w:t>
      </w:r>
    </w:p>
    <w:p>
      <w:pPr>
        <w:pStyle w:val="Normal"/>
        <w:pageBreakBefor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ageBreakBefore w:val="false"/>
        <w:numPr>
          <w:ilvl w:val="0"/>
          <w:numId w:val="7"/>
        </w:numPr>
        <w:spacing w:lineRule="auto" w:line="276"/>
        <w:ind w:left="720" w:hanging="360"/>
        <w:jc w:val="both"/>
        <w:rPr>
          <w:sz w:val="24"/>
          <w:szCs w:val="24"/>
          <w:u w:val="none"/>
        </w:rPr>
      </w:pPr>
      <w:r>
        <w:rPr>
          <w:sz w:val="24"/>
          <w:szCs w:val="24"/>
        </w:rPr>
        <w:t>Prever a destinação ambiental adequada das baterias usadas ou inservíveis, segundo disposto na Resolução CONAMA nº 257, de 30 de junho de 1999;</w:t>
      </w:r>
    </w:p>
    <w:p>
      <w:pPr>
        <w:pStyle w:val="Normal"/>
        <w:pageBreakBefore w:val="false"/>
        <w:numPr>
          <w:ilvl w:val="0"/>
          <w:numId w:val="7"/>
        </w:numPr>
        <w:spacing w:lineRule="auto" w:line="276"/>
        <w:ind w:left="720" w:hanging="360"/>
        <w:jc w:val="both"/>
        <w:rPr>
          <w:sz w:val="24"/>
          <w:szCs w:val="24"/>
          <w:u w:val="none"/>
        </w:rPr>
      </w:pPr>
      <w:r>
        <w:rPr>
          <w:sz w:val="24"/>
          <w:szCs w:val="24"/>
        </w:rPr>
        <w:t>Fornecer aos seus empregados equipamentos de segurança que se fizerem necessários, para a execução dos serviços;</w:t>
      </w:r>
    </w:p>
    <w:p>
      <w:pPr>
        <w:pStyle w:val="Normal"/>
        <w:pageBreakBefore w:val="false"/>
        <w:numPr>
          <w:ilvl w:val="0"/>
          <w:numId w:val="7"/>
        </w:numPr>
        <w:spacing w:lineRule="auto" w:line="276"/>
        <w:ind w:left="720" w:hanging="360"/>
        <w:jc w:val="both"/>
        <w:rPr>
          <w:sz w:val="24"/>
          <w:szCs w:val="24"/>
          <w:u w:val="none"/>
        </w:rPr>
      </w:pPr>
      <w:r>
        <w:rPr>
          <w:sz w:val="24"/>
          <w:szCs w:val="24"/>
        </w:rPr>
        <w:t>Efetivar práticas de sustentabilidade ambiental, quando da execução dos serviços, utilizando produtos biodegradáveis, atóxicos, conforme ABNT NBR 15448-1 e 15448-2 economizando energia, gás, água, assim como separar seletivamente os resíduos oriundos da prestação dos serviços;</w:t>
      </w:r>
    </w:p>
    <w:p>
      <w:pPr>
        <w:pStyle w:val="Normal"/>
        <w:pageBreakBefore w:val="false"/>
        <w:numPr>
          <w:ilvl w:val="0"/>
          <w:numId w:val="7"/>
        </w:numPr>
        <w:spacing w:lineRule="auto" w:line="276"/>
        <w:ind w:left="720" w:hanging="360"/>
        <w:jc w:val="both"/>
        <w:rPr>
          <w:sz w:val="24"/>
          <w:szCs w:val="24"/>
          <w:u w:val="none"/>
        </w:rPr>
      </w:pPr>
      <w:r>
        <w:rPr>
          <w:sz w:val="24"/>
          <w:szCs w:val="24"/>
        </w:rPr>
        <w:t>Providenciar o recolhimento e o adequado descarte dos pneus usados ou inservíveis originários da contratação, recolhendo-os aos pontos de coleta ou centrais de armazenamentos mandos pelo respectivo fabricante ou importador, ou entregando-os ao estabelecimento que houver realizado a troca do pneu usado por um novo, para fins de sua destinação final ambientalmente adequada, conforme artigos 1° e 9° da Resolução CONAMA n° 416, de 30/09/2009, e legislação correlata;</w:t>
      </w:r>
    </w:p>
    <w:p>
      <w:pPr>
        <w:pStyle w:val="Normal"/>
        <w:pageBreakBefore w:val="false"/>
        <w:numPr>
          <w:ilvl w:val="0"/>
          <w:numId w:val="7"/>
        </w:numPr>
        <w:spacing w:lineRule="auto" w:line="276"/>
        <w:ind w:left="720" w:hanging="360"/>
        <w:jc w:val="both"/>
        <w:rPr>
          <w:sz w:val="24"/>
          <w:szCs w:val="24"/>
          <w:u w:val="none"/>
        </w:rPr>
      </w:pPr>
      <w:r>
        <w:rPr>
          <w:sz w:val="24"/>
          <w:szCs w:val="24"/>
        </w:rPr>
        <w:t>Os veículos fornecidos deverão obedecer aos limites máximos de ruídos fixados nas Resoluções CONAMA n° 1, de 11/02/1993, e n° 272, de 14/09/2000, e legislação correlata, bem como aos limites máximos de emissão de poluentes provenientes do escapamento fixados no âmbito do Programa de Controle da Poluição do Ar por Veículos Automotores – PROCONVE, conforme Resoluções CONAMA n° 18, de 06/05/1986, e n° 315, de 29/10/2002, e legislação correlata.</w:t>
      </w:r>
    </w:p>
    <w:p>
      <w:pPr>
        <w:pStyle w:val="Normal"/>
        <w:pageBreakBefor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ageBreakBefore w:val="false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6– Obrigações das partes</w:t>
      </w:r>
    </w:p>
    <w:p>
      <w:pPr>
        <w:pStyle w:val="Normal"/>
        <w:spacing w:lineRule="auto" w:line="276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76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Listagem das obrigações da contratada (empresa) e do contratante (Tribunal)</w:t>
      </w:r>
    </w:p>
    <w:p>
      <w:pPr>
        <w:pStyle w:val="Normal"/>
        <w:spacing w:lineRule="auto" w:line="276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76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Obrigações da contratada (empresa):</w:t>
      </w:r>
    </w:p>
    <w:p>
      <w:pPr>
        <w:pStyle w:val="Normal"/>
        <w:spacing w:lineRule="auto" w:line="276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São obrigações gerais da Contratada:</w:t>
      </w:r>
    </w:p>
    <w:p>
      <w:pPr>
        <w:pStyle w:val="Normal"/>
        <w:numPr>
          <w:ilvl w:val="0"/>
          <w:numId w:val="2"/>
        </w:numPr>
        <w:tabs>
          <w:tab w:val="left" w:pos="0" w:leader="none"/>
        </w:tabs>
        <w:spacing w:lineRule="auto" w:line="276"/>
        <w:ind w:left="720" w:hanging="36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proceder, no início da contratação, ao seu cadastramento no SIGEO-JT - Sistema Integrado de Gestão Orçamentária e Financeira da Justiça do Trabalho - Módulo Execução Orçamentária, bem como responsabilizar-se pela gestão de seus dados;</w:t>
      </w:r>
    </w:p>
    <w:p>
      <w:pPr>
        <w:pStyle w:val="Normal"/>
        <w:numPr>
          <w:ilvl w:val="0"/>
          <w:numId w:val="2"/>
        </w:numPr>
        <w:tabs>
          <w:tab w:val="left" w:pos="0" w:leader="none"/>
        </w:tabs>
        <w:spacing w:lineRule="auto" w:line="276"/>
        <w:ind w:left="720" w:hanging="36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responsabilizar-se pela juntada, por meio do referido Sistema, dos documentos de cobrança/documentos fiscais (notas fiscais/faturas) nos termos da cláusula quatorze - da liquidação e pagamento;</w:t>
      </w:r>
    </w:p>
    <w:p>
      <w:pPr>
        <w:pStyle w:val="Normal"/>
        <w:numPr>
          <w:ilvl w:val="0"/>
          <w:numId w:val="2"/>
        </w:numPr>
        <w:tabs>
          <w:tab w:val="left" w:pos="0" w:leader="none"/>
        </w:tabs>
        <w:spacing w:lineRule="auto" w:line="276"/>
        <w:ind w:left="720" w:hanging="36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observar e cumprir, estritamente, os termos do Termo de Referência/orçamento apresentado, obedecendo a critérios e prazos acordados;</w:t>
      </w:r>
    </w:p>
    <w:p>
      <w:pPr>
        <w:pStyle w:val="Normal"/>
        <w:numPr>
          <w:ilvl w:val="0"/>
          <w:numId w:val="2"/>
        </w:numPr>
        <w:tabs>
          <w:tab w:val="left" w:pos="0" w:leader="none"/>
        </w:tabs>
        <w:spacing w:lineRule="auto" w:line="276"/>
        <w:ind w:left="720" w:hanging="36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manter em dia a documentação até a liquidação e pagamento da nota fiscal;</w:t>
      </w:r>
    </w:p>
    <w:p>
      <w:pPr>
        <w:pStyle w:val="Normal"/>
        <w:numPr>
          <w:ilvl w:val="0"/>
          <w:numId w:val="2"/>
        </w:numPr>
        <w:tabs>
          <w:tab w:val="left" w:pos="0" w:leader="none"/>
        </w:tabs>
        <w:spacing w:lineRule="auto" w:line="276"/>
        <w:ind w:left="720" w:hanging="36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prestar todos os esclarecimentos que lhe forem solicitados;</w:t>
      </w:r>
    </w:p>
    <w:p>
      <w:pPr>
        <w:pStyle w:val="Normal"/>
        <w:numPr>
          <w:ilvl w:val="0"/>
          <w:numId w:val="2"/>
        </w:numPr>
        <w:tabs>
          <w:tab w:val="left" w:pos="0" w:leader="none"/>
        </w:tabs>
        <w:spacing w:lineRule="auto" w:line="276"/>
        <w:ind w:left="720" w:hanging="360"/>
        <w:jc w:val="both"/>
        <w:rPr/>
      </w:pPr>
      <w:r>
        <w:rPr>
          <w:sz w:val="24"/>
          <w:szCs w:val="24"/>
        </w:rPr>
        <w:t xml:space="preserve">obedecer, no que couber, às normas do Código de Ética do Contratante acesso clicando no link </w:t>
      </w:r>
      <w:hyperlink r:id="rId2">
        <w:r>
          <w:rPr>
            <w:rStyle w:val="LinkdaInternet"/>
            <w:sz w:val="24"/>
            <w:szCs w:val="24"/>
          </w:rPr>
          <w:t>http://www.trt12.jus.br/portal/areas/ascom/extranet/documentos/Resolucao_adm_006_2016.pdf</w:t>
        </w:r>
      </w:hyperlink>
      <w:r>
        <w:rPr>
          <w:sz w:val="24"/>
          <w:szCs w:val="24"/>
        </w:rPr>
        <w:t>;</w:t>
      </w:r>
    </w:p>
    <w:p>
      <w:pPr>
        <w:pStyle w:val="Normal"/>
        <w:numPr>
          <w:ilvl w:val="0"/>
          <w:numId w:val="2"/>
        </w:numPr>
        <w:tabs>
          <w:tab w:val="left" w:pos="0" w:leader="none"/>
        </w:tabs>
        <w:spacing w:lineRule="auto" w:line="276"/>
        <w:ind w:left="720" w:hanging="36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responsabilizar-se pela prestação do serviço nas condições acordadas;</w:t>
      </w:r>
    </w:p>
    <w:p>
      <w:pPr>
        <w:pStyle w:val="Normal"/>
        <w:numPr>
          <w:ilvl w:val="0"/>
          <w:numId w:val="2"/>
        </w:numPr>
        <w:tabs>
          <w:tab w:val="left" w:pos="0" w:leader="none"/>
        </w:tabs>
        <w:spacing w:lineRule="auto" w:line="276"/>
        <w:ind w:left="720" w:hanging="36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corrigir ou substituir, às suas expensas, no total ou em parte, os serviços prestados,  sempre que necessário;</w:t>
      </w:r>
    </w:p>
    <w:p>
      <w:pPr>
        <w:pStyle w:val="Normal"/>
        <w:numPr>
          <w:ilvl w:val="0"/>
          <w:numId w:val="2"/>
        </w:numPr>
        <w:tabs>
          <w:tab w:val="left" w:pos="0" w:leader="none"/>
        </w:tabs>
        <w:spacing w:lineRule="auto" w:line="276"/>
        <w:ind w:left="720" w:hanging="360"/>
        <w:jc w:val="both"/>
        <w:rPr/>
      </w:pPr>
      <w:r>
        <w:rPr>
          <w:sz w:val="24"/>
          <w:szCs w:val="24"/>
        </w:rPr>
        <w:t xml:space="preserve">obedecer, no que couber, aos termos da Portaria Presi nº 340/2022, que regulamenta o procedimento para apuração de responsabilidade e eventual adoção de medidas decorrentes da violação de regras pertinentes aos processos de contratação ou descumprimento de obrigações contratuais. Acesso no link: </w:t>
      </w:r>
      <w:hyperlink r:id="rId3">
        <w:r>
          <w:rPr>
            <w:rStyle w:val="LinkdaInternet"/>
            <w:sz w:val="24"/>
            <w:szCs w:val="24"/>
            <w:u w:val="single"/>
          </w:rPr>
          <w:t>http://trtapl3.trt12.gov.br/cmdg/img_legis/2022/061011340.pdf</w:t>
        </w:r>
      </w:hyperlink>
    </w:p>
    <w:p>
      <w:pPr>
        <w:pStyle w:val="Normal"/>
        <w:tabs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0" w:leader="none"/>
        </w:tabs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São obrigações específicas da Contratada:</w:t>
      </w:r>
    </w:p>
    <w:p>
      <w:pPr>
        <w:pStyle w:val="Normal"/>
        <w:numPr>
          <w:ilvl w:val="0"/>
          <w:numId w:val="9"/>
        </w:numPr>
        <w:tabs>
          <w:tab w:val="left" w:pos="0" w:leader="none"/>
        </w:tabs>
        <w:ind w:left="708" w:hanging="360"/>
        <w:jc w:val="both"/>
        <w:rPr>
          <w:sz w:val="24"/>
          <w:szCs w:val="24"/>
        </w:rPr>
      </w:pPr>
      <w:r>
        <w:rPr>
          <w:sz w:val="24"/>
          <w:szCs w:val="24"/>
        </w:rPr>
        <w:t>estar cadastrada na Prefeitura Municipal de Florianópolis para serviços de traslados;</w:t>
      </w:r>
    </w:p>
    <w:p>
      <w:pPr>
        <w:pStyle w:val="Normal"/>
        <w:numPr>
          <w:ilvl w:val="0"/>
          <w:numId w:val="9"/>
        </w:numPr>
        <w:tabs>
          <w:tab w:val="left" w:pos="0" w:leader="none"/>
        </w:tabs>
        <w:ind w:left="708" w:hanging="360"/>
        <w:jc w:val="both"/>
        <w:rPr>
          <w:sz w:val="24"/>
          <w:szCs w:val="24"/>
        </w:rPr>
      </w:pPr>
      <w:r>
        <w:rPr>
          <w:sz w:val="24"/>
          <w:szCs w:val="24"/>
        </w:rPr>
        <w:t>possuir Certificado de Turismo/Cadastur;</w:t>
      </w:r>
    </w:p>
    <w:p>
      <w:pPr>
        <w:pStyle w:val="Normal"/>
        <w:numPr>
          <w:ilvl w:val="0"/>
          <w:numId w:val="9"/>
        </w:numPr>
        <w:tabs>
          <w:tab w:val="left" w:pos="0" w:leader="none"/>
        </w:tabs>
        <w:ind w:left="708" w:hanging="360"/>
        <w:jc w:val="both"/>
        <w:rPr>
          <w:sz w:val="24"/>
          <w:szCs w:val="24"/>
        </w:rPr>
      </w:pPr>
      <w:r>
        <w:rPr>
          <w:sz w:val="24"/>
          <w:szCs w:val="24"/>
        </w:rPr>
        <w:t>possuir apólice de seguro individual por passageiro em todos os veículos;</w:t>
      </w:r>
    </w:p>
    <w:p>
      <w:pPr>
        <w:pStyle w:val="Normal"/>
        <w:numPr>
          <w:ilvl w:val="0"/>
          <w:numId w:val="9"/>
        </w:numPr>
        <w:tabs>
          <w:tab w:val="left" w:pos="0" w:leader="none"/>
        </w:tabs>
        <w:ind w:left="708" w:hanging="360"/>
        <w:jc w:val="both"/>
        <w:rPr>
          <w:sz w:val="24"/>
          <w:szCs w:val="24"/>
          <w:u w:val="none"/>
        </w:rPr>
      </w:pPr>
      <w:r>
        <w:rPr>
          <w:sz w:val="24"/>
          <w:szCs w:val="24"/>
        </w:rPr>
        <w:t>os prestadores de serviço (motoristas e recepcionistas) deverão estar  uniformizados, de forma a facilitar a identificação;</w:t>
      </w:r>
    </w:p>
    <w:p>
      <w:pPr>
        <w:pStyle w:val="Normal"/>
        <w:numPr>
          <w:ilvl w:val="0"/>
          <w:numId w:val="9"/>
        </w:numPr>
        <w:tabs>
          <w:tab w:val="left" w:pos="0" w:leader="none"/>
        </w:tabs>
        <w:ind w:left="708" w:hanging="360"/>
        <w:jc w:val="both"/>
        <w:rPr>
          <w:sz w:val="24"/>
          <w:szCs w:val="24"/>
          <w:u w:val="none"/>
        </w:rPr>
      </w:pPr>
      <w:r>
        <w:rPr>
          <w:sz w:val="24"/>
          <w:szCs w:val="24"/>
        </w:rPr>
        <w:t>disponibilizar os veículos descritos no item 4 deste termos de referência, em boas condições de uso e com ar condicionado em funcionamento;</w:t>
      </w:r>
    </w:p>
    <w:p>
      <w:pPr>
        <w:pStyle w:val="Normal"/>
        <w:numPr>
          <w:ilvl w:val="0"/>
          <w:numId w:val="9"/>
        </w:numPr>
        <w:tabs>
          <w:tab w:val="left" w:pos="0" w:leader="none"/>
        </w:tabs>
        <w:ind w:left="708" w:hanging="360"/>
        <w:jc w:val="both"/>
        <w:rPr>
          <w:sz w:val="24"/>
          <w:szCs w:val="24"/>
          <w:u w:val="none"/>
        </w:rPr>
      </w:pPr>
      <w:r>
        <w:rPr>
          <w:sz w:val="24"/>
          <w:szCs w:val="24"/>
        </w:rPr>
        <w:t>permanecer com os veículos à disposição do evento, em local próximo à sua realização ou onde for orientado pela contratada, para que estejam no local solicitado com celeridade, sempre que acionados</w:t>
      </w:r>
    </w:p>
    <w:p>
      <w:pPr>
        <w:pStyle w:val="Normal"/>
        <w:tabs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0" w:leader="none"/>
        </w:tabs>
        <w:spacing w:lineRule="auto" w:line="276"/>
        <w:ind w:left="0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São obrigações gerais da Contratada decorrentes da LGPD:</w:t>
      </w:r>
    </w:p>
    <w:p>
      <w:pPr>
        <w:pStyle w:val="Normal"/>
        <w:tabs>
          <w:tab w:val="left" w:pos="0" w:leader="none"/>
        </w:tabs>
        <w:spacing w:lineRule="auto" w:line="276"/>
        <w:ind w:left="720" w:hanging="0"/>
        <w:jc w:val="both"/>
        <w:rPr>
          <w:sz w:val="24"/>
          <w:szCs w:val="24"/>
        </w:rPr>
      </w:pPr>
      <w:r>
        <w:rPr>
          <w:sz w:val="24"/>
          <w:szCs w:val="24"/>
        </w:rPr>
        <w:t>a) para os fins da Lei Geral de Proteção de Dados (Lei n. 13.709/2018), na hipótese de, em razão do presente contrato, a Contratada realizar o tratamento de dados pessoais como operadora ou controladora, deverá adotar as medidas de segurança técnicas, jurídicas e administrativas aptas a proteger tais dados pessoais de acessos não autorizados ou qualquer forma de tratamento inadequado ou ilícito, observando-se os padrões mínimos definidos pela Autoridade Nacional de Proteção de Dados em conformidade com o disposto na legislação de proteção de dados e privacidade em vigor, sem prejuízo do disposto nas alíneas subsequentes;</w:t>
      </w:r>
    </w:p>
    <w:p>
      <w:pPr>
        <w:pStyle w:val="Normal"/>
        <w:tabs>
          <w:tab w:val="left" w:pos="0" w:leader="none"/>
        </w:tabs>
        <w:spacing w:lineRule="auto" w:line="276"/>
        <w:ind w:left="72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dar tratamento aos dados pessoais a que tiver acesso por força do contrato tão-somente na medida do cumprimento do escopo contratual, vedado o tratamento para quaisquer outros propósitos; </w:t>
      </w:r>
    </w:p>
    <w:p>
      <w:pPr>
        <w:pStyle w:val="Normal"/>
        <w:tabs>
          <w:tab w:val="left" w:pos="0" w:leader="none"/>
        </w:tabs>
        <w:spacing w:lineRule="auto" w:line="276"/>
        <w:ind w:left="720" w:hanging="0"/>
        <w:jc w:val="both"/>
        <w:rPr>
          <w:sz w:val="24"/>
          <w:szCs w:val="24"/>
        </w:rPr>
      </w:pPr>
      <w:r>
        <w:rPr>
          <w:sz w:val="24"/>
          <w:szCs w:val="24"/>
        </w:rPr>
        <w:t>c) não fornecer transferir ou disponibilizar dados pessoais a terceiros, a menos que com base em instruções explícitas, por escrito, do Contratante ou por ordem de autoridade judicial, sob a condição de que, nesse último caso, informando ao Contratante dentro de 24 (vinte e quatro) horas após o recebimento da ordem judicial, ressalvadas as hipóteses legais de sigilo na investigação em que o tratamento sigiloso tenha sido expressamente exigido pela autoridade judicial, quando a Contratada estará dispensada da comunicação ao Contratante;</w:t>
      </w:r>
    </w:p>
    <w:p>
      <w:pPr>
        <w:pStyle w:val="Normal"/>
        <w:tabs>
          <w:tab w:val="left" w:pos="0" w:leader="none"/>
        </w:tabs>
        <w:spacing w:lineRule="auto" w:line="276"/>
        <w:ind w:left="720" w:hanging="0"/>
        <w:jc w:val="both"/>
        <w:rPr>
          <w:sz w:val="24"/>
          <w:szCs w:val="24"/>
        </w:rPr>
      </w:pPr>
      <w:r>
        <w:rPr>
          <w:sz w:val="24"/>
          <w:szCs w:val="24"/>
        </w:rPr>
        <w:t>d) não colocar o Contratante em situação de violação da LGPD;</w:t>
      </w:r>
    </w:p>
    <w:p>
      <w:pPr>
        <w:pStyle w:val="Normal"/>
        <w:tabs>
          <w:tab w:val="left" w:pos="0" w:leader="none"/>
        </w:tabs>
        <w:spacing w:lineRule="auto" w:line="276"/>
        <w:ind w:left="720" w:hanging="0"/>
        <w:jc w:val="both"/>
        <w:rPr>
          <w:sz w:val="24"/>
          <w:szCs w:val="24"/>
        </w:rPr>
      </w:pPr>
      <w:r>
        <w:rPr>
          <w:sz w:val="24"/>
          <w:szCs w:val="24"/>
        </w:rPr>
        <w:t>e) assegurar que seus empregados tenham ciência dos termos da LGPD e que estejam capacitados para agir dentro das normas nela dispostas;</w:t>
      </w:r>
    </w:p>
    <w:p>
      <w:pPr>
        <w:pStyle w:val="Normal"/>
        <w:tabs>
          <w:tab w:val="left" w:pos="0" w:leader="none"/>
        </w:tabs>
        <w:spacing w:lineRule="auto" w:line="276"/>
        <w:ind w:left="720" w:hanging="0"/>
        <w:jc w:val="both"/>
        <w:rPr>
          <w:sz w:val="24"/>
          <w:szCs w:val="24"/>
        </w:rPr>
      </w:pPr>
      <w:r>
        <w:rPr>
          <w:sz w:val="24"/>
          <w:szCs w:val="24"/>
        </w:rPr>
        <w:t>f) assegurar que as pessoas autorizadas a tratar os dados pessoais assinem termo de confidencialidade;</w:t>
      </w:r>
    </w:p>
    <w:p>
      <w:pPr>
        <w:pStyle w:val="Normal"/>
        <w:tabs>
          <w:tab w:val="left" w:pos="0" w:leader="none"/>
        </w:tabs>
        <w:spacing w:lineRule="auto" w:line="276"/>
        <w:ind w:left="720" w:hanging="0"/>
        <w:jc w:val="both"/>
        <w:rPr>
          <w:sz w:val="24"/>
          <w:szCs w:val="24"/>
        </w:rPr>
      </w:pPr>
      <w:r>
        <w:rPr>
          <w:sz w:val="24"/>
          <w:szCs w:val="24"/>
        </w:rPr>
        <w:t>g) responsabilizar-se pelo uso indevido que seus empregados ou prestadores de serviços fizerem dos dados pessoais a que tiverem acesso pela execução contratual, bem como por quaisquer falhas nos sistemas por ela empregados para o tratamento dos dados;</w:t>
      </w:r>
    </w:p>
    <w:p>
      <w:pPr>
        <w:pStyle w:val="Normal"/>
        <w:tabs>
          <w:tab w:val="left" w:pos="0" w:leader="none"/>
        </w:tabs>
        <w:spacing w:lineRule="auto" w:line="276"/>
        <w:ind w:left="720" w:hanging="0"/>
        <w:jc w:val="both"/>
        <w:rPr>
          <w:sz w:val="24"/>
          <w:szCs w:val="24"/>
        </w:rPr>
      </w:pPr>
      <w:r>
        <w:rPr>
          <w:sz w:val="24"/>
          <w:szCs w:val="24"/>
        </w:rPr>
        <w:t>h) cessar o tratamento de dados pessoais realizado com base no Contrato imediatamente após o seu término e, a critério exclusivo do Contratante, apagar, destruir ou devolver os dados pessoais que tiver obtido;</w:t>
      </w:r>
    </w:p>
    <w:p>
      <w:pPr>
        <w:pStyle w:val="Normal"/>
        <w:tabs>
          <w:tab w:val="left" w:pos="0" w:leader="none"/>
        </w:tabs>
        <w:spacing w:lineRule="auto" w:line="276"/>
        <w:ind w:left="720" w:hanging="0"/>
        <w:jc w:val="both"/>
        <w:rPr>
          <w:sz w:val="24"/>
          <w:szCs w:val="24"/>
        </w:rPr>
      </w:pPr>
      <w:r>
        <w:rPr>
          <w:sz w:val="24"/>
          <w:szCs w:val="24"/>
        </w:rPr>
        <w:t>i) nos casos em que realizar o tratamento de dados pessoais confiados pelo Contratante, a Contratada será considerada "operadora" e deverá aderir à Política de Privacidade e Proteção de Dados do Contratante.</w:t>
      </w:r>
    </w:p>
    <w:p>
      <w:pPr>
        <w:pStyle w:val="Normal"/>
        <w:tabs>
          <w:tab w:val="left" w:pos="0" w:leader="none"/>
        </w:tabs>
        <w:spacing w:lineRule="auto" w:line="276"/>
        <w:jc w:val="both"/>
        <w:rPr>
          <w:color w:val="00B0F0"/>
          <w:sz w:val="24"/>
          <w:szCs w:val="24"/>
        </w:rPr>
      </w:pPr>
      <w:r>
        <w:rPr>
          <w:color w:val="00B0F0"/>
          <w:sz w:val="24"/>
          <w:szCs w:val="24"/>
        </w:rPr>
      </w:r>
    </w:p>
    <w:p>
      <w:pPr>
        <w:pStyle w:val="Normal"/>
        <w:spacing w:lineRule="auto" w:line="276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Obrigações do contratante (Tribunal):</w:t>
      </w:r>
    </w:p>
    <w:p>
      <w:pPr>
        <w:pStyle w:val="Normal"/>
        <w:spacing w:lineRule="auto" w:line="276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left" w:pos="0" w:leader="none"/>
        </w:tabs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São obrigações gerais do Contratante: </w:t>
      </w:r>
    </w:p>
    <w:p>
      <w:pPr>
        <w:pStyle w:val="Normal"/>
        <w:numPr>
          <w:ilvl w:val="0"/>
          <w:numId w:val="10"/>
        </w:numPr>
        <w:tabs>
          <w:tab w:val="left" w:pos="0" w:leader="none"/>
        </w:tabs>
        <w:spacing w:lineRule="auto" w:line="276"/>
        <w:ind w:left="720" w:hanging="36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acompanhar a execução do contrato;</w:t>
      </w:r>
    </w:p>
    <w:p>
      <w:pPr>
        <w:pStyle w:val="Normal"/>
        <w:numPr>
          <w:ilvl w:val="0"/>
          <w:numId w:val="10"/>
        </w:numPr>
        <w:tabs>
          <w:tab w:val="left" w:pos="0" w:leader="none"/>
        </w:tabs>
        <w:spacing w:lineRule="auto" w:line="276"/>
        <w:ind w:left="720" w:hanging="36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prestar os esclarecimentos solicitados pela contratada;</w:t>
      </w:r>
    </w:p>
    <w:p>
      <w:pPr>
        <w:pStyle w:val="Normal"/>
        <w:numPr>
          <w:ilvl w:val="0"/>
          <w:numId w:val="10"/>
        </w:numPr>
        <w:tabs>
          <w:tab w:val="left" w:pos="0" w:leader="none"/>
        </w:tabs>
        <w:spacing w:lineRule="auto" w:line="276"/>
        <w:ind w:left="720" w:hanging="36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efetuar os pagamentos devidos à contratada.”</w:t>
      </w:r>
    </w:p>
    <w:p>
      <w:pPr>
        <w:pStyle w:val="Normal"/>
        <w:tabs>
          <w:tab w:val="left" w:pos="0" w:leader="none"/>
        </w:tabs>
        <w:spacing w:lineRule="auto" w:line="276"/>
        <w:ind w:left="72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0" w:leader="none"/>
        </w:tabs>
        <w:spacing w:lineRule="auto" w:line="276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Obrigações específicas do contratante:</w:t>
      </w:r>
    </w:p>
    <w:p>
      <w:pPr>
        <w:pStyle w:val="Normal"/>
        <w:numPr>
          <w:ilvl w:val="0"/>
          <w:numId w:val="3"/>
        </w:numPr>
        <w:tabs>
          <w:tab w:val="left" w:pos="0" w:leader="none"/>
        </w:tabs>
        <w:ind w:left="850" w:hanging="360"/>
        <w:jc w:val="both"/>
        <w:rPr>
          <w:sz w:val="24"/>
          <w:szCs w:val="24"/>
        </w:rPr>
      </w:pPr>
      <w:r>
        <w:rPr>
          <w:sz w:val="24"/>
          <w:szCs w:val="24"/>
        </w:rPr>
        <w:t>fornecer lista de participantes dos eventos que farão uso do serviço de transfer</w:t>
      </w:r>
    </w:p>
    <w:p>
      <w:pPr>
        <w:pStyle w:val="Normal"/>
        <w:numPr>
          <w:ilvl w:val="0"/>
          <w:numId w:val="3"/>
        </w:numPr>
        <w:tabs>
          <w:tab w:val="left" w:pos="0" w:leader="none"/>
        </w:tabs>
        <w:ind w:left="850" w:hanging="360"/>
        <w:jc w:val="both"/>
        <w:rPr>
          <w:sz w:val="24"/>
          <w:szCs w:val="24"/>
        </w:rPr>
      </w:pPr>
      <w:r>
        <w:rPr>
          <w:sz w:val="24"/>
          <w:szCs w:val="24"/>
        </w:rPr>
        <w:t>disponibilizar planilha com os horários de voos e hospedagem antecipadamente para logística.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11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Observação: Nos termos do inciso I, do art. 95 da Lei 14.133/2021, o termo de contrato não é obrigatório para o presente caso, e esta Equipe de Planejamento entende pela sua desnecessidade. </w:t>
      </w:r>
    </w:p>
    <w:p>
      <w:pPr>
        <w:pStyle w:val="Normal"/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7 - Forma da contratação e Critério de seleção do fornecedor</w:t>
      </w:r>
    </w:p>
    <w:p>
      <w:pPr>
        <w:pStyle w:val="Normal"/>
        <w:spacing w:lineRule="auto" w:line="276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76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Indicação da forma de contratação nos termos da Lei nº 14.133/2021: </w:t>
      </w:r>
    </w:p>
    <w:p>
      <w:pPr>
        <w:pStyle w:val="Normal"/>
        <w:spacing w:lineRule="auto" w:line="276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left" w:pos="0" w:leader="none"/>
        </w:tabs>
        <w:ind w:firstLine="1133"/>
        <w:jc w:val="both"/>
        <w:rPr>
          <w:sz w:val="24"/>
          <w:szCs w:val="24"/>
        </w:rPr>
      </w:pPr>
      <w:r>
        <w:rPr>
          <w:sz w:val="24"/>
          <w:szCs w:val="24"/>
        </w:rPr>
        <w:t>Tendo em vista o valor, a aquisição pretendida inclui-se na modalidade de “Compra Direta”, sendo dispensado o procedimento licitatório, conforme o que dispõe o artigo 75, inciso II, da Lei nº 14.133/2021.</w:t>
      </w:r>
    </w:p>
    <w:p>
      <w:pPr>
        <w:pStyle w:val="Normal"/>
        <w:tabs>
          <w:tab w:val="left" w:pos="0" w:leader="none"/>
        </w:tabs>
        <w:ind w:firstLine="1133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0" w:leader="none"/>
        </w:tabs>
        <w:ind w:firstLine="11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Art. 75. É dispensável a licitação: </w:t>
      </w:r>
    </w:p>
    <w:p>
      <w:pPr>
        <w:pStyle w:val="Normal"/>
        <w:tabs>
          <w:tab w:val="left" w:pos="0" w:leader="none"/>
        </w:tabs>
        <w:ind w:firstLine="1133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0" w:leader="none"/>
        </w:tabs>
        <w:ind w:firstLine="1133"/>
        <w:jc w:val="both"/>
        <w:rPr>
          <w:sz w:val="24"/>
          <w:szCs w:val="24"/>
        </w:rPr>
      </w:pPr>
      <w:r>
        <w:rPr>
          <w:sz w:val="24"/>
          <w:szCs w:val="24"/>
        </w:rPr>
        <w:t>II - para contratação que envolva valores inferiores a R$ 50.000,00* (cinquenta mil reais), no caso de outros serviços e compras;</w:t>
      </w:r>
    </w:p>
    <w:p>
      <w:pPr>
        <w:pStyle w:val="Normal"/>
        <w:tabs>
          <w:tab w:val="left" w:pos="0" w:leader="none"/>
        </w:tabs>
        <w:ind w:firstLine="1133"/>
        <w:jc w:val="both"/>
        <w:rPr>
          <w:i/>
          <w:i/>
          <w:sz w:val="18"/>
          <w:szCs w:val="18"/>
        </w:rPr>
      </w:pPr>
      <w:r>
        <w:rPr>
          <w:i/>
          <w:sz w:val="18"/>
          <w:szCs w:val="18"/>
        </w:rPr>
        <w:t>*valor atualizado R$ 57.208,33</w:t>
      </w:r>
    </w:p>
    <w:p>
      <w:pPr>
        <w:pStyle w:val="Normal"/>
        <w:spacing w:lineRule="auto" w:line="276"/>
        <w:jc w:val="both"/>
        <w:rPr>
          <w:b/>
          <w:b/>
          <w:color w:val="00B0F0"/>
          <w:sz w:val="24"/>
          <w:szCs w:val="24"/>
        </w:rPr>
      </w:pPr>
      <w:r>
        <w:rPr>
          <w:b/>
          <w:color w:val="00B0F0"/>
          <w:sz w:val="24"/>
          <w:szCs w:val="24"/>
        </w:rPr>
      </w:r>
    </w:p>
    <w:p>
      <w:pPr>
        <w:pStyle w:val="Normal"/>
        <w:spacing w:lineRule="auto" w:line="276"/>
        <w:jc w:val="both"/>
        <w:rPr>
          <w:b/>
          <w:b/>
          <w:sz w:val="24"/>
          <w:szCs w:val="24"/>
        </w:rPr>
      </w:pPr>
      <w:r>
        <w:rPr>
          <w:color w:val="00B0F0"/>
          <w:sz w:val="24"/>
          <w:szCs w:val="24"/>
        </w:rPr>
        <w:t xml:space="preserve"> </w:t>
      </w:r>
    </w:p>
    <w:p>
      <w:pPr>
        <w:pStyle w:val="Normal"/>
        <w:spacing w:lineRule="auto" w:line="276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Indicação do critério de julgamento dos orçamentos (menor preço por item,  global ou por lote):</w:t>
      </w:r>
    </w:p>
    <w:p>
      <w:pPr>
        <w:pStyle w:val="Normal"/>
        <w:spacing w:lineRule="auto" w:line="276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left" w:pos="0" w:leader="none"/>
        </w:tabs>
        <w:ind w:firstLine="566"/>
        <w:jc w:val="both"/>
        <w:rPr>
          <w:sz w:val="24"/>
          <w:szCs w:val="24"/>
        </w:rPr>
      </w:pPr>
      <w:r>
        <w:rPr>
          <w:sz w:val="24"/>
          <w:szCs w:val="24"/>
        </w:rPr>
        <w:t>O critério de julgamento será o de menor preço global, devendo os participantes se aterem às especificações do objeto que se encontra neste Termo de Referência, bem como no modelo de Orçamento.</w:t>
      </w:r>
    </w:p>
    <w:p>
      <w:pPr>
        <w:pStyle w:val="Normal"/>
        <w:tabs>
          <w:tab w:val="left" w:pos="0" w:leader="none"/>
        </w:tabs>
        <w:ind w:firstLine="56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0" w:leader="none"/>
        </w:tabs>
        <w:ind w:firstLine="566"/>
        <w:jc w:val="both"/>
        <w:rPr>
          <w:color w:val="000001"/>
          <w:sz w:val="24"/>
          <w:szCs w:val="24"/>
        </w:rPr>
      </w:pPr>
      <w:r>
        <w:rPr>
          <w:color w:val="000001"/>
          <w:sz w:val="24"/>
          <w:szCs w:val="24"/>
        </w:rPr>
        <w:t>Nos preços deverão estar inclusos todos os custos diretos e indiretos.</w:t>
      </w:r>
    </w:p>
    <w:p>
      <w:pPr>
        <w:pStyle w:val="Normal"/>
        <w:tabs>
          <w:tab w:val="left" w:pos="0" w:leader="none"/>
        </w:tabs>
        <w:ind w:firstLine="566"/>
        <w:jc w:val="both"/>
        <w:rPr>
          <w:color w:val="000001"/>
          <w:sz w:val="24"/>
          <w:szCs w:val="24"/>
        </w:rPr>
      </w:pPr>
      <w:r>
        <w:rPr>
          <w:color w:val="000001"/>
          <w:sz w:val="24"/>
          <w:szCs w:val="24"/>
        </w:rPr>
      </w:r>
    </w:p>
    <w:p>
      <w:pPr>
        <w:pStyle w:val="Normal"/>
        <w:tabs>
          <w:tab w:val="left" w:pos="0" w:leader="none"/>
        </w:tabs>
        <w:ind w:firstLine="566"/>
        <w:jc w:val="both"/>
        <w:rPr>
          <w:color w:val="000001"/>
          <w:sz w:val="24"/>
          <w:szCs w:val="24"/>
        </w:rPr>
      </w:pPr>
      <w:r>
        <w:rPr>
          <w:color w:val="000001"/>
          <w:sz w:val="24"/>
          <w:szCs w:val="24"/>
        </w:rPr>
        <w:t>Os orçamentos serão apreciados sob o critério do menor preço global dos itens. Essa alternativa se deve especialmente ao fato de que a prestação dos serviços tem que ter padrão de qualidade uniforme. Também se pretende otimizar a gestão do contrato, garantindo vantajosidade para a Administração pública.</w:t>
      </w:r>
    </w:p>
    <w:p>
      <w:pPr>
        <w:pStyle w:val="Normal"/>
        <w:ind w:firstLine="566"/>
        <w:jc w:val="both"/>
        <w:rPr>
          <w:b/>
          <w:b/>
          <w:color w:val="00B0F0"/>
          <w:sz w:val="24"/>
          <w:szCs w:val="24"/>
        </w:rPr>
      </w:pPr>
      <w:r>
        <w:rPr>
          <w:b/>
          <w:color w:val="00B0F0"/>
          <w:sz w:val="24"/>
          <w:szCs w:val="24"/>
        </w:rPr>
      </w:r>
    </w:p>
    <w:p>
      <w:pPr>
        <w:pStyle w:val="Normal"/>
        <w:tabs>
          <w:tab w:val="left" w:pos="0" w:leader="none"/>
        </w:tabs>
        <w:ind w:firstLine="566"/>
        <w:jc w:val="both"/>
        <w:rPr>
          <w:sz w:val="24"/>
          <w:szCs w:val="24"/>
        </w:rPr>
      </w:pPr>
      <w:r>
        <w:rPr>
          <w:sz w:val="24"/>
          <w:szCs w:val="24"/>
        </w:rPr>
        <w:t>A contratação é exclusiva para ME e EPP, pois o valor fica abaixo de R$ 80.000,00 (“As contratações devem ser exclusivas para microempresas - ME e empresas de pequeno porte - EPP, por força da LC 123/2006”).</w:t>
      </w:r>
    </w:p>
    <w:p>
      <w:pPr>
        <w:pStyle w:val="Normal"/>
        <w:tabs>
          <w:tab w:val="left" w:pos="0" w:leader="none"/>
        </w:tabs>
        <w:ind w:firstLine="56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0" w:leader="none"/>
        </w:tabs>
        <w:ind w:firstLine="56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0" w:leader="none"/>
        </w:tabs>
        <w:ind w:firstLine="1133"/>
        <w:jc w:val="both"/>
        <w:rPr>
          <w:b/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Justificativa para a não utilização do SDE:</w:t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Indica a Equipe de Planejamento da Contratação que a presente contratação não seja realizada pelo SDE -Sistema de Dispensa Eletrônica pelos motivos a seguir expostos.</w:t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Trata-se de serviço de transporte para os participantes da Reunião do Sistema Integrado de Formação de Magistrados (SINFOMAT) da ENAMAT e para os participantes do I Encontro das Escolas Judiciais da Região Sul em evento a ser realizado no período  de 8 a 10 de novembro de 2023.</w:t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presente objeto difere-se de serviços e materiais padronizáveis, que têm suas especificações definidas, padronizadas e que se prestam perfeitamente à aquisição pelo SDE. </w:t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A contratação ora proposta, por compra direta, com empresas locais, foi sugerida pela área demandante, haja vista a maior facilidade de comunicação e interação entre Tribunal e a contratada, o que poderá facilitar muito a gestão da demanda. Importante registrar, também, que a contratada tem que estar habilitada para a prestação do serviço em Florianópolis, com cadastro na prefeitura da cidade.</w:t>
      </w:r>
    </w:p>
    <w:p>
      <w:pPr>
        <w:pStyle w:val="Normal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Além do exposto, ressaltamos a importância de celeridade na contratação tendo em vista a necessidade de que o empenho seja emitido até 25/10/23 de modo que a empresa vencedora tenha tempo hábil para se organizar a grade de horários em função dos deslocamentos dos participantes, especialmente os de aeroporto que tem diferentes previsões de chegada.</w:t>
      </w:r>
    </w:p>
    <w:p>
      <w:pPr>
        <w:pStyle w:val="Normal"/>
        <w:ind w:firstLine="720"/>
        <w:jc w:val="both"/>
        <w:rPr>
          <w:sz w:val="24"/>
          <w:szCs w:val="24"/>
          <w:shd w:fill="FFFFFF" w:val="clear"/>
        </w:rPr>
      </w:pPr>
      <w:r>
        <w:rPr>
          <w:sz w:val="24"/>
          <w:szCs w:val="24"/>
        </w:rPr>
        <w:t xml:space="preserve">Vale lembrar, também, que somente no início de  setembro a </w:t>
      </w:r>
      <w:r>
        <w:rPr>
          <w:color w:val="202124"/>
          <w:sz w:val="24"/>
          <w:szCs w:val="24"/>
          <w:shd w:fill="FFFFFF" w:val="clear"/>
        </w:rPr>
        <w:t xml:space="preserve"> Escola Nacional de Formação e Aperfeiçoamento de Magistrados do Trabalho, que realizará a reunião do SINFOMAT e apoiará o I Encontro,  aprovou a programação do evento possibilitando uma maior noção do número de  participantes envolvidos e a definição do período,  </w:t>
      </w:r>
      <w:r>
        <w:rPr>
          <w:sz w:val="24"/>
          <w:szCs w:val="24"/>
        </w:rPr>
        <w:t xml:space="preserve"> razão pela qual a máxima celeridade da contratação se faz necessária, com o que contribui a não utilização do SDE para a presente contratação. </w:t>
      </w:r>
    </w:p>
    <w:p>
      <w:pPr>
        <w:pStyle w:val="Normal"/>
        <w:spacing w:lineRule="auto" w:line="276"/>
        <w:jc w:val="both"/>
        <w:rPr>
          <w:color w:val="00B0F0"/>
          <w:sz w:val="24"/>
          <w:szCs w:val="24"/>
        </w:rPr>
      </w:pPr>
      <w:r>
        <w:rPr>
          <w:color w:val="00B0F0"/>
          <w:sz w:val="24"/>
          <w:szCs w:val="24"/>
        </w:rPr>
      </w:r>
    </w:p>
    <w:p>
      <w:pPr>
        <w:pStyle w:val="Normal"/>
        <w:spacing w:lineRule="auto" w:line="360" w:before="120" w:after="0"/>
        <w:ind w:left="142" w:hanging="0"/>
        <w:jc w:val="both"/>
        <w:rPr>
          <w:sz w:val="24"/>
          <w:szCs w:val="24"/>
        </w:rPr>
      </w:pPr>
      <w:r>
        <w:rPr>
          <w:b/>
          <w:sz w:val="24"/>
          <w:szCs w:val="24"/>
        </w:rPr>
        <w:t>Critérios Fiscais:</w:t>
      </w:r>
    </w:p>
    <w:p>
      <w:pPr>
        <w:pStyle w:val="Normal"/>
        <w:numPr>
          <w:ilvl w:val="0"/>
          <w:numId w:val="12"/>
        </w:numPr>
        <w:shd w:val="clear" w:fill="FFFFFF"/>
        <w:spacing w:lineRule="auto" w:line="360" w:before="120" w:after="0"/>
        <w:ind w:left="714" w:hanging="357"/>
        <w:jc w:val="both"/>
        <w:rPr>
          <w:rFonts w:ascii="Arial" w:hAnsi="Arial" w:eastAsia="Arial" w:cs="Arial"/>
          <w:sz w:val="24"/>
          <w:szCs w:val="24"/>
        </w:rPr>
      </w:pPr>
      <w:r>
        <w:rPr>
          <w:sz w:val="24"/>
          <w:szCs w:val="24"/>
        </w:rPr>
        <w:t>CRF - Certificado de Regularidade do FGTS, emitido pela CEF;</w:t>
      </w:r>
    </w:p>
    <w:p>
      <w:pPr>
        <w:pStyle w:val="Normal"/>
        <w:numPr>
          <w:ilvl w:val="0"/>
          <w:numId w:val="12"/>
        </w:numPr>
        <w:shd w:val="clear" w:fill="FFFFFF"/>
        <w:spacing w:lineRule="auto" w:line="360"/>
        <w:ind w:left="714" w:hanging="357"/>
        <w:jc w:val="both"/>
        <w:rPr>
          <w:rFonts w:ascii="Arial" w:hAnsi="Arial" w:eastAsia="Arial" w:cs="Arial"/>
          <w:sz w:val="24"/>
          <w:szCs w:val="24"/>
        </w:rPr>
      </w:pPr>
      <w:r>
        <w:rPr>
          <w:sz w:val="24"/>
          <w:szCs w:val="24"/>
        </w:rPr>
        <w:t>Certidão Negativa de Débitos Relativos aos Tributos Federais e à Dívida Ativa da União, emitida em conjunto pela Secretaria da Receita Federal e Procuradoria-Geral da Fazenda Nacional;</w:t>
      </w:r>
    </w:p>
    <w:p>
      <w:pPr>
        <w:pStyle w:val="Normal"/>
        <w:numPr>
          <w:ilvl w:val="0"/>
          <w:numId w:val="12"/>
        </w:numPr>
        <w:shd w:val="clear" w:fill="FFFFFF"/>
        <w:spacing w:lineRule="auto" w:line="360"/>
        <w:ind w:left="714" w:hanging="357"/>
        <w:jc w:val="both"/>
        <w:rPr>
          <w:rFonts w:ascii="Arial" w:hAnsi="Arial" w:eastAsia="Arial" w:cs="Arial"/>
          <w:sz w:val="24"/>
          <w:szCs w:val="24"/>
        </w:rPr>
      </w:pPr>
      <w:r>
        <w:rPr>
          <w:sz w:val="24"/>
          <w:szCs w:val="24"/>
        </w:rPr>
        <w:t>CNDT - Certidão Negativa de Débitos Trabalhistas, emitida pela Justiça do Trabalho;</w:t>
      </w:r>
    </w:p>
    <w:p>
      <w:pPr>
        <w:pStyle w:val="Normal"/>
        <w:numPr>
          <w:ilvl w:val="0"/>
          <w:numId w:val="12"/>
        </w:numPr>
        <w:shd w:val="clear" w:fill="FFFFFF"/>
        <w:spacing w:lineRule="auto" w:line="360"/>
        <w:ind w:left="714" w:hanging="357"/>
        <w:jc w:val="both"/>
        <w:rPr>
          <w:rFonts w:ascii="Arial" w:hAnsi="Arial" w:eastAsia="Arial" w:cs="Arial"/>
          <w:sz w:val="24"/>
          <w:szCs w:val="24"/>
        </w:rPr>
      </w:pPr>
      <w:r>
        <w:rPr>
          <w:sz w:val="24"/>
          <w:szCs w:val="24"/>
        </w:rPr>
        <w:t>Prova de regularidade para com a Fazenda Estadual do domicílio ou sede do licitante;</w:t>
      </w:r>
    </w:p>
    <w:p>
      <w:pPr>
        <w:pStyle w:val="Normal"/>
        <w:numPr>
          <w:ilvl w:val="0"/>
          <w:numId w:val="12"/>
        </w:numPr>
        <w:shd w:val="clear" w:fill="FFFFFF"/>
        <w:spacing w:lineRule="auto" w:line="360"/>
        <w:ind w:left="714" w:hanging="357"/>
        <w:jc w:val="both"/>
        <w:rPr>
          <w:rFonts w:ascii="Arial" w:hAnsi="Arial" w:eastAsia="Arial" w:cs="Arial"/>
          <w:sz w:val="24"/>
          <w:szCs w:val="24"/>
        </w:rPr>
      </w:pPr>
      <w:r>
        <w:rPr>
          <w:sz w:val="24"/>
          <w:szCs w:val="24"/>
        </w:rPr>
        <w:t>Prova de regularidade para com a Fazenda Municipal do domicílio ou sede do licitante.</w:t>
      </w:r>
    </w:p>
    <w:p>
      <w:pPr>
        <w:pStyle w:val="Normal"/>
        <w:spacing w:lineRule="auto" w:line="276"/>
        <w:jc w:val="both"/>
        <w:rPr>
          <w:color w:val="00B0F0"/>
          <w:sz w:val="24"/>
          <w:szCs w:val="24"/>
        </w:rPr>
      </w:pPr>
      <w:r>
        <w:rPr>
          <w:color w:val="00B0F0"/>
          <w:sz w:val="24"/>
          <w:szCs w:val="24"/>
        </w:rPr>
      </w:r>
    </w:p>
    <w:p>
      <w:pPr>
        <w:pStyle w:val="Normal"/>
        <w:spacing w:lineRule="auto" w:line="276"/>
        <w:jc w:val="both"/>
        <w:rPr>
          <w:color w:val="FF0000"/>
          <w:sz w:val="24"/>
          <w:szCs w:val="24"/>
        </w:rPr>
      </w:pPr>
      <w:r>
        <w:rPr>
          <w:b/>
          <w:sz w:val="28"/>
          <w:szCs w:val="28"/>
        </w:rPr>
        <w:t>7.a - Preenchimento do modelo de orçamento para a coleta de preços - Não utilização do SDE*</w:t>
      </w:r>
    </w:p>
    <w:p>
      <w:pPr>
        <w:pStyle w:val="Normal"/>
        <w:spacing w:lineRule="auto" w:line="276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76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Indicação de aderência ao modelo de orçamento constante da página da Secad.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/>
      </w:pPr>
      <w:r>
        <w:rPr>
          <w:sz w:val="24"/>
          <w:szCs w:val="24"/>
        </w:rPr>
        <w:t>Foi utilizado o modelo de orçamento constante da página da SECAD.</w:t>
      </w:r>
    </w:p>
    <w:p>
      <w:pPr>
        <w:pStyle w:val="Normal"/>
        <w:spacing w:lineRule="auto" w:line="276"/>
        <w:ind w:firstLine="1133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color w:val="00B0F0"/>
          <w:sz w:val="24"/>
          <w:szCs w:val="24"/>
        </w:rPr>
      </w:pPr>
      <w:r>
        <w:rPr>
          <w:color w:val="00B0F0"/>
          <w:sz w:val="24"/>
          <w:szCs w:val="24"/>
        </w:rPr>
      </w:r>
    </w:p>
    <w:p>
      <w:pPr>
        <w:pStyle w:val="Normal"/>
        <w:spacing w:lineRule="auto" w:line="276"/>
        <w:jc w:val="both"/>
        <w:rPr>
          <w:b/>
          <w:b/>
          <w:color w:val="00B0F0"/>
          <w:sz w:val="24"/>
          <w:szCs w:val="24"/>
        </w:rPr>
      </w:pPr>
      <w:r>
        <w:rPr>
          <w:b/>
          <w:color w:val="00B0F0"/>
          <w:sz w:val="24"/>
          <w:szCs w:val="24"/>
        </w:rPr>
      </w:r>
    </w:p>
    <w:p>
      <w:pPr>
        <w:pStyle w:val="Normal"/>
        <w:spacing w:lineRule="auto" w:line="276"/>
        <w:jc w:val="both"/>
        <w:rPr>
          <w:b/>
          <w:b/>
          <w:color w:val="00B0F0"/>
          <w:sz w:val="24"/>
          <w:szCs w:val="24"/>
        </w:rPr>
      </w:pPr>
      <w:r>
        <w:rPr>
          <w:b/>
          <w:color w:val="00B0F0"/>
          <w:sz w:val="24"/>
          <w:szCs w:val="24"/>
        </w:rPr>
      </w:r>
    </w:p>
    <w:p>
      <w:pPr>
        <w:pStyle w:val="Normal"/>
        <w:spacing w:lineRule="auto" w:line="276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8 – Recursos orçamentários</w:t>
      </w:r>
    </w:p>
    <w:p>
      <w:pPr>
        <w:pStyle w:val="Normal"/>
        <w:spacing w:lineRule="auto" w:line="276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b/>
          <w:sz w:val="24"/>
          <w:szCs w:val="24"/>
        </w:rPr>
        <w:t>Indicação dos recursos para a contratação e classificação orçamentária:</w:t>
      </w:r>
    </w:p>
    <w:p>
      <w:pPr>
        <w:pStyle w:val="Normal"/>
        <w:spacing w:lineRule="auto" w:line="276"/>
        <w:jc w:val="both"/>
        <w:rPr>
          <w:b/>
          <w:b/>
          <w:color w:val="00B0F0"/>
          <w:sz w:val="24"/>
          <w:szCs w:val="24"/>
        </w:rPr>
      </w:pPr>
      <w:r>
        <w:rPr>
          <w:b/>
          <w:color w:val="00B0F0"/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Há disponibilidade de recursos orçamentários para custear as despesas decorrentes da contratação e a demanda está prevista no orçamento da Unidade Gestora.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sz w:val="24"/>
          <w:szCs w:val="24"/>
        </w:rPr>
        <w:t>Programa de Trabalho:</w:t>
      </w:r>
      <w:r>
        <w:rPr>
          <w:sz w:val="24"/>
          <w:szCs w:val="24"/>
        </w:rPr>
        <w:t xml:space="preserve"> 02.122.0033.4256.0042 - 0005 Formação e Aperfeiçoamento de Magistrados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sz w:val="24"/>
          <w:szCs w:val="24"/>
        </w:rPr>
        <w:t>Natureza da Despesa:</w:t>
      </w:r>
      <w:r>
        <w:rPr>
          <w:sz w:val="24"/>
          <w:szCs w:val="24"/>
        </w:rPr>
        <w:t xml:space="preserve"> 3390.39 Outros Serviços de Terceiros - Pessoa Jurídica</w:t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Subelemento da Despesa: </w:t>
      </w:r>
      <w:r>
        <w:rPr>
          <w:sz w:val="24"/>
          <w:szCs w:val="24"/>
        </w:rPr>
        <w:t>22 - EXPOSIÇÕES, CONGRESSOS E CONFERÊNCIAS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b/>
          <w:sz w:val="28"/>
          <w:szCs w:val="28"/>
        </w:rPr>
        <w:t>9 - Informações complementares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Indicação do responsável por prestar esclarecimentos e seu contato:</w:t>
      </w:r>
    </w:p>
    <w:p>
      <w:pPr>
        <w:pStyle w:val="Normal"/>
        <w:spacing w:lineRule="auto" w:line="276"/>
        <w:ind w:firstLine="566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76"/>
        <w:ind w:firstLine="56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Nome: </w:t>
      </w:r>
      <w:r>
        <w:rPr>
          <w:sz w:val="24"/>
          <w:szCs w:val="24"/>
        </w:rPr>
        <w:t>Fernanda Rodrigues Lemos Pinto</w:t>
      </w:r>
    </w:p>
    <w:p>
      <w:pPr>
        <w:pStyle w:val="Normal"/>
        <w:spacing w:lineRule="auto" w:line="276"/>
        <w:ind w:firstLine="56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E-mail: </w:t>
      </w:r>
      <w:r>
        <w:rPr>
          <w:sz w:val="24"/>
          <w:szCs w:val="24"/>
        </w:rPr>
        <w:t>coftag@trt12.jus.br</w:t>
      </w:r>
    </w:p>
    <w:p>
      <w:pPr>
        <w:pStyle w:val="Normal"/>
        <w:spacing w:lineRule="auto" w:line="276"/>
        <w:ind w:firstLine="56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Telefone: </w:t>
      </w:r>
      <w:r>
        <w:rPr>
          <w:sz w:val="24"/>
          <w:szCs w:val="24"/>
        </w:rPr>
        <w:t>(48) 3216.4201</w:t>
      </w:r>
    </w:p>
    <w:p>
      <w:pPr>
        <w:pStyle w:val="Normal"/>
        <w:spacing w:lineRule="auto" w:line="276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76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76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10 - Providências para adequação do Tribunal</w:t>
      </w:r>
    </w:p>
    <w:p>
      <w:pPr>
        <w:pStyle w:val="Normal"/>
        <w:spacing w:lineRule="auto" w:line="276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76"/>
        <w:ind w:firstLine="566"/>
        <w:jc w:val="both"/>
        <w:rPr>
          <w:color w:val="00B0F0"/>
          <w:sz w:val="24"/>
          <w:szCs w:val="24"/>
        </w:rPr>
      </w:pPr>
      <w:r>
        <w:rPr>
          <w:sz w:val="24"/>
          <w:szCs w:val="24"/>
        </w:rPr>
        <w:t>Não há necessidade de adequação no Tribunal.</w:t>
      </w:r>
    </w:p>
    <w:p>
      <w:pPr>
        <w:pStyle w:val="Normal"/>
        <w:spacing w:lineRule="auto" w:line="276"/>
        <w:jc w:val="both"/>
        <w:rPr>
          <w:color w:val="00B0F0"/>
          <w:sz w:val="24"/>
          <w:szCs w:val="24"/>
        </w:rPr>
      </w:pPr>
      <w:r>
        <w:rPr>
          <w:color w:val="00B0F0"/>
          <w:sz w:val="24"/>
          <w:szCs w:val="24"/>
        </w:rPr>
      </w:r>
    </w:p>
    <w:p>
      <w:pPr>
        <w:pStyle w:val="Normal"/>
        <w:spacing w:lineRule="auto" w:line="276"/>
        <w:jc w:val="both"/>
        <w:rPr>
          <w:color w:val="00B0F0"/>
          <w:sz w:val="24"/>
          <w:szCs w:val="24"/>
        </w:rPr>
      </w:pPr>
      <w:r>
        <w:rPr>
          <w:color w:val="00B0F0"/>
          <w:sz w:val="24"/>
          <w:szCs w:val="24"/>
        </w:rPr>
      </w:r>
    </w:p>
    <w:p>
      <w:pPr>
        <w:pStyle w:val="Normal"/>
        <w:spacing w:lineRule="auto" w:line="276"/>
        <w:jc w:val="both"/>
        <w:rPr>
          <w:color w:val="00B0F0"/>
          <w:sz w:val="28"/>
          <w:szCs w:val="28"/>
        </w:rPr>
      </w:pPr>
      <w:r>
        <w:rPr>
          <w:b/>
          <w:sz w:val="28"/>
          <w:szCs w:val="28"/>
        </w:rPr>
        <w:t>11 - Contratações correlatas ou interdependentes.</w:t>
      </w:r>
    </w:p>
    <w:p>
      <w:pPr>
        <w:pStyle w:val="Normal"/>
        <w:spacing w:lineRule="auto" w:line="276"/>
        <w:jc w:val="both"/>
        <w:rPr>
          <w:color w:val="00B0F0"/>
          <w:sz w:val="24"/>
          <w:szCs w:val="24"/>
        </w:rPr>
      </w:pPr>
      <w:r>
        <w:rPr>
          <w:color w:val="00B0F0"/>
          <w:sz w:val="24"/>
          <w:szCs w:val="24"/>
        </w:rPr>
      </w:r>
    </w:p>
    <w:p>
      <w:pPr>
        <w:pStyle w:val="Normal"/>
        <w:spacing w:lineRule="auto" w:line="276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Contratações correlatas ou interdependentes:</w:t>
      </w:r>
    </w:p>
    <w:p>
      <w:pPr>
        <w:pStyle w:val="Normal"/>
        <w:spacing w:lineRule="auto" w:line="276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firstLine="566"/>
        <w:jc w:val="both"/>
        <w:rPr>
          <w:sz w:val="24"/>
          <w:szCs w:val="24"/>
        </w:rPr>
      </w:pPr>
      <w:r>
        <w:rPr>
          <w:sz w:val="24"/>
          <w:szCs w:val="24"/>
        </w:rPr>
        <w:t>Não há necessidade de contratação correlata ou interdependente.</w:t>
      </w:r>
    </w:p>
    <w:p>
      <w:pPr>
        <w:pStyle w:val="Normal"/>
        <w:ind w:firstLine="56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color w:val="00B0F0"/>
          <w:sz w:val="24"/>
          <w:szCs w:val="24"/>
        </w:rPr>
      </w:pPr>
      <w:r>
        <w:rPr>
          <w:color w:val="00B0F0"/>
          <w:sz w:val="24"/>
          <w:szCs w:val="24"/>
        </w:rPr>
      </w:r>
    </w:p>
    <w:p>
      <w:pPr>
        <w:pStyle w:val="Normal"/>
        <w:spacing w:lineRule="auto" w:line="276"/>
        <w:jc w:val="both"/>
        <w:rPr>
          <w:b/>
          <w:b/>
          <w:color w:val="00B0F0"/>
          <w:sz w:val="24"/>
          <w:szCs w:val="24"/>
        </w:rPr>
      </w:pPr>
      <w:r>
        <w:rPr>
          <w:b/>
          <w:sz w:val="28"/>
          <w:szCs w:val="28"/>
        </w:rPr>
        <w:t>12 – Análise de Riscos</w:t>
      </w:r>
    </w:p>
    <w:p>
      <w:pPr>
        <w:pStyle w:val="Normal"/>
        <w:shd w:val="clear" w:fill="FFFFFF"/>
        <w:tabs>
          <w:tab w:val="left" w:pos="549" w:leader="none"/>
        </w:tabs>
        <w:spacing w:lineRule="auto" w:line="360"/>
        <w:ind w:firstLine="56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keepNext/>
        <w:keepLines w:val="false"/>
        <w:pageBreakBefore w:val="false"/>
        <w:widowControl/>
        <w:pBdr/>
        <w:shd w:val="clear" w:fill="auto"/>
        <w:tabs>
          <w:tab w:val="left" w:pos="549" w:leader="none"/>
        </w:tabs>
        <w:spacing w:lineRule="auto" w:line="276" w:before="0" w:after="0"/>
        <w:ind w:left="0" w:right="0" w:hanging="0"/>
        <w:jc w:val="both"/>
        <w:rPr>
          <w:sz w:val="24"/>
          <w:szCs w:val="24"/>
        </w:rPr>
      </w:pPr>
      <w:r>
        <w:rPr>
          <w:sz w:val="24"/>
          <w:szCs w:val="24"/>
        </w:rPr>
        <w:t>A política adotada pelo Tribunal estabelece que riscos baixos e médios podem ser aceitos, ou seja, inferior a 15 (quinze). Da análise dos principais riscos identificados relativos à contratação, foram propostas ações preventivas (para reduzir a probabilidade) e de contingência (para reduzir o impacto), mesmo não tendo os riscos atingindo o patamar mínimo indicado (Grau 15), bem como, foram indicados os responsáveis pelas ações.</w:t>
      </w:r>
    </w:p>
    <w:p>
      <w:pPr>
        <w:pStyle w:val="Normal"/>
        <w:spacing w:lineRule="auto" w:line="276" w:before="120" w:after="120"/>
        <w:jc w:val="both"/>
        <w:rPr>
          <w:b/>
          <w:b/>
          <w:color w:val="00B0F0"/>
          <w:sz w:val="24"/>
          <w:szCs w:val="24"/>
        </w:rPr>
      </w:pPr>
      <w:r>
        <w:rPr>
          <w:b/>
          <w:color w:val="00B0F0"/>
          <w:sz w:val="24"/>
          <w:szCs w:val="24"/>
        </w:rPr>
      </w:r>
    </w:p>
    <w:p>
      <w:pPr>
        <w:pStyle w:val="Normal"/>
        <w:spacing w:lineRule="auto" w:line="276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13 – Gestão e Fiscalização</w:t>
      </w:r>
    </w:p>
    <w:p>
      <w:pPr>
        <w:pStyle w:val="Normal"/>
        <w:spacing w:lineRule="auto" w:line="276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left" w:pos="0" w:leader="none"/>
        </w:tabs>
        <w:spacing w:lineRule="auto" w:line="276"/>
        <w:jc w:val="both"/>
        <w:rPr>
          <w:b/>
          <w:b/>
          <w:color w:val="000001"/>
          <w:sz w:val="24"/>
          <w:szCs w:val="24"/>
        </w:rPr>
      </w:pPr>
      <w:r>
        <w:rPr>
          <w:b/>
          <w:sz w:val="24"/>
          <w:szCs w:val="24"/>
        </w:rPr>
        <w:t>Atribuições dos membros da equipe de fiscalização:</w:t>
      </w:r>
    </w:p>
    <w:p>
      <w:pPr>
        <w:pStyle w:val="Normal"/>
        <w:tabs>
          <w:tab w:val="left" w:pos="0" w:leader="none"/>
        </w:tabs>
        <w:spacing w:lineRule="auto" w:line="276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São atribuições do fiscal: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4"/>
        </w:numPr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verificar a conformidade da execução do contrato, nos termos acordados;</w:t>
      </w:r>
    </w:p>
    <w:p>
      <w:pPr>
        <w:pStyle w:val="Normal"/>
        <w:numPr>
          <w:ilvl w:val="0"/>
          <w:numId w:val="4"/>
        </w:numPr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efetuar a comunicação com a contratada, sempre que necessário;</w:t>
      </w:r>
    </w:p>
    <w:p>
      <w:pPr>
        <w:pStyle w:val="Normal"/>
        <w:numPr>
          <w:ilvl w:val="0"/>
          <w:numId w:val="4"/>
        </w:numPr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verificar a aderência às normas e obrigações pactuadas;</w:t>
      </w:r>
    </w:p>
    <w:p>
      <w:pPr>
        <w:pStyle w:val="Normal"/>
        <w:numPr>
          <w:ilvl w:val="0"/>
          <w:numId w:val="4"/>
        </w:numPr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determinar a regularização dos defeitos verificados;</w:t>
      </w:r>
    </w:p>
    <w:p>
      <w:pPr>
        <w:pStyle w:val="Normal"/>
        <w:numPr>
          <w:ilvl w:val="0"/>
          <w:numId w:val="4"/>
        </w:numPr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reportar ao gestor caso inexitosas as diligências efetuadas junto à empresa;</w:t>
      </w:r>
    </w:p>
    <w:p>
      <w:pPr>
        <w:pStyle w:val="Normal"/>
        <w:numPr>
          <w:ilvl w:val="0"/>
          <w:numId w:val="4"/>
        </w:numPr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realizar o recebimento provisório.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São atribuições do gestor: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11"/>
        </w:numPr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gerir a execução do ajuste;</w:t>
      </w:r>
    </w:p>
    <w:p>
      <w:pPr>
        <w:pStyle w:val="Normal"/>
        <w:numPr>
          <w:ilvl w:val="0"/>
          <w:numId w:val="11"/>
        </w:numPr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acompanhar as ações de fiscalização;</w:t>
      </w:r>
    </w:p>
    <w:p>
      <w:pPr>
        <w:pStyle w:val="Normal"/>
        <w:numPr>
          <w:ilvl w:val="0"/>
          <w:numId w:val="11"/>
        </w:numPr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diligenciar junto à empresa nos casos em que lhe forem solicitados pelo fiscal;</w:t>
      </w:r>
    </w:p>
    <w:p>
      <w:pPr>
        <w:pStyle w:val="Normal"/>
        <w:numPr>
          <w:ilvl w:val="0"/>
          <w:numId w:val="11"/>
        </w:numPr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realizar o recebimento definitivo.</w:t>
      </w:r>
    </w:p>
    <w:p>
      <w:pPr>
        <w:pStyle w:val="Normal"/>
        <w:spacing w:lineRule="auto" w:line="276"/>
        <w:jc w:val="both"/>
        <w:rPr>
          <w:b/>
          <w:b/>
          <w:color w:val="00B0F0"/>
          <w:sz w:val="24"/>
          <w:szCs w:val="24"/>
        </w:rPr>
      </w:pPr>
      <w:r>
        <w:rPr>
          <w:b/>
          <w:color w:val="00B0F0"/>
          <w:sz w:val="24"/>
          <w:szCs w:val="24"/>
        </w:rPr>
      </w:r>
    </w:p>
    <w:p>
      <w:pPr>
        <w:pStyle w:val="Normal"/>
        <w:spacing w:lineRule="auto" w:line="276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76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14 – Recebimento do objeto</w:t>
      </w:r>
    </w:p>
    <w:p>
      <w:pPr>
        <w:pStyle w:val="Normal"/>
        <w:spacing w:lineRule="auto" w:line="276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b/>
          <w:sz w:val="24"/>
          <w:szCs w:val="24"/>
        </w:rPr>
        <w:t>Indicação das condições para o recebimento do objeto:</w:t>
      </w:r>
    </w:p>
    <w:p>
      <w:pPr>
        <w:pStyle w:val="Normal"/>
        <w:spacing w:lineRule="auto" w:line="276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As condições para o recebimento estão estipuladas nas Listas de Verificação para o recebimento, e liquidação e pagamento do objeto anexas ao presente termo de referência: </w:t>
      </w:r>
    </w:p>
    <w:p>
      <w:pPr>
        <w:pStyle w:val="Normal"/>
        <w:spacing w:lineRule="auto" w:line="276"/>
        <w:ind w:left="720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5"/>
        </w:numPr>
        <w:spacing w:lineRule="auto" w:line="276"/>
        <w:ind w:left="720" w:hanging="36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Termo de Recebimento Provisório</w:t>
      </w:r>
    </w:p>
    <w:p>
      <w:pPr>
        <w:pStyle w:val="Normal"/>
        <w:numPr>
          <w:ilvl w:val="0"/>
          <w:numId w:val="5"/>
        </w:numPr>
        <w:spacing w:lineRule="auto" w:line="276"/>
        <w:ind w:left="720" w:hanging="36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Termo de Recebimento Definitivo</w:t>
      </w:r>
    </w:p>
    <w:p>
      <w:pPr>
        <w:pStyle w:val="Normal"/>
        <w:numPr>
          <w:ilvl w:val="0"/>
          <w:numId w:val="5"/>
        </w:numPr>
        <w:spacing w:lineRule="auto" w:line="276"/>
        <w:ind w:left="720" w:hanging="36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Atestado de Conformidade para Pagamento da Nota Fiscal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As listas seguem as orientações constantes da Portaria Presi 337/2022.</w:t>
      </w:r>
    </w:p>
    <w:p>
      <w:pPr>
        <w:pStyle w:val="Normal"/>
        <w:tabs>
          <w:tab w:val="left" w:pos="0" w:leader="none"/>
        </w:tabs>
        <w:spacing w:lineRule="auto" w:line="276"/>
        <w:jc w:val="both"/>
        <w:rPr>
          <w:color w:val="00B0F0"/>
          <w:sz w:val="24"/>
          <w:szCs w:val="24"/>
        </w:rPr>
      </w:pPr>
      <w:r>
        <w:rPr>
          <w:color w:val="00B0F0"/>
          <w:sz w:val="24"/>
          <w:szCs w:val="24"/>
        </w:rPr>
      </w:r>
    </w:p>
    <w:p>
      <w:pPr>
        <w:pStyle w:val="Normal"/>
        <w:spacing w:lineRule="auto" w:line="276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76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15 – Condições de pagamento</w:t>
      </w:r>
    </w:p>
    <w:p>
      <w:pPr>
        <w:pStyle w:val="Normal"/>
        <w:spacing w:lineRule="auto" w:line="276"/>
        <w:jc w:val="both"/>
        <w:rPr>
          <w:color w:val="6AA84F"/>
          <w:sz w:val="24"/>
          <w:szCs w:val="24"/>
        </w:rPr>
      </w:pPr>
      <w:r>
        <w:rPr>
          <w:color w:val="6AA84F"/>
          <w:sz w:val="24"/>
          <w:szCs w:val="24"/>
        </w:rPr>
      </w:r>
    </w:p>
    <w:p>
      <w:pPr>
        <w:pStyle w:val="Normal"/>
        <w:tabs>
          <w:tab w:val="left" w:pos="0" w:leader="none"/>
        </w:tabs>
        <w:ind w:firstLine="1133"/>
        <w:jc w:val="both"/>
        <w:rPr>
          <w:sz w:val="24"/>
          <w:szCs w:val="24"/>
        </w:rPr>
      </w:pPr>
      <w:r>
        <w:rPr>
          <w:sz w:val="24"/>
          <w:szCs w:val="24"/>
        </w:rPr>
        <w:t>A liquidação e o pagamento obedecerão o seguinte:</w:t>
      </w:r>
    </w:p>
    <w:p>
      <w:pPr>
        <w:pStyle w:val="Normal"/>
        <w:tabs>
          <w:tab w:val="left" w:pos="0" w:leader="none"/>
        </w:tabs>
        <w:ind w:firstLine="1133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0" w:leader="none"/>
        </w:tabs>
        <w:ind w:firstLine="1133"/>
        <w:jc w:val="both"/>
        <w:rPr>
          <w:sz w:val="24"/>
          <w:szCs w:val="24"/>
        </w:rPr>
      </w:pPr>
      <w:r>
        <w:rPr>
          <w:sz w:val="24"/>
          <w:szCs w:val="24"/>
        </w:rPr>
        <w:t>I - Os pagamentos serão realizados na forma do SIGEO JT - Sistema Integrado de Gestão Orçamentária e Financeira da Justiça do Trabalho - Módulo Execução Orçamentária.</w:t>
      </w:r>
    </w:p>
    <w:p>
      <w:pPr>
        <w:pStyle w:val="Normal"/>
        <w:tabs>
          <w:tab w:val="left" w:pos="0" w:leader="none"/>
        </w:tabs>
        <w:ind w:firstLine="1133"/>
        <w:jc w:val="both"/>
        <w:rPr>
          <w:sz w:val="24"/>
          <w:szCs w:val="24"/>
        </w:rPr>
      </w:pPr>
      <w:r>
        <w:rPr>
          <w:sz w:val="24"/>
          <w:szCs w:val="24"/>
        </w:rPr>
        <w:t>a) para fins de liquidação e pagamento, é de exclusiva responsabilidade da Contratada o seu cadastramento no SIGEO, gestão de seus dados e a juntada por meio do referido Sistema dos documentos de cobrança/documentos fiscais (notas fiscais/faturas);</w:t>
      </w:r>
    </w:p>
    <w:p>
      <w:pPr>
        <w:pStyle w:val="Normal"/>
        <w:tabs>
          <w:tab w:val="left" w:pos="0" w:leader="none"/>
        </w:tabs>
        <w:ind w:firstLine="1133"/>
        <w:jc w:val="both"/>
        <w:rPr>
          <w:sz w:val="24"/>
          <w:szCs w:val="24"/>
        </w:rPr>
      </w:pPr>
      <w:r>
        <w:rPr>
          <w:sz w:val="24"/>
          <w:szCs w:val="24"/>
        </w:rPr>
        <w:t>b) é de exclusiva responsabilidade da Contratada as ações indicadas na alínea anterior não cabendo ao Contratante quaisquer responsabilidade pela falta de juntada ao sistema no prazo;</w:t>
      </w:r>
    </w:p>
    <w:p>
      <w:pPr>
        <w:pStyle w:val="Normal"/>
        <w:tabs>
          <w:tab w:val="left" w:pos="0" w:leader="none"/>
        </w:tabs>
        <w:ind w:firstLine="1133"/>
        <w:jc w:val="both"/>
        <w:rPr>
          <w:sz w:val="24"/>
          <w:szCs w:val="24"/>
        </w:rPr>
      </w:pPr>
      <w:r>
        <w:rPr>
          <w:sz w:val="24"/>
          <w:szCs w:val="24"/>
        </w:rPr>
        <w:t>c) eventuais dúvidas poderão ser dirimidas junto à Secretaria de Orçamento e Finanças por meio do email seof@trt12.jus.br ou telefone (48) 3216-4059.</w:t>
      </w:r>
    </w:p>
    <w:p>
      <w:pPr>
        <w:pStyle w:val="Normal"/>
        <w:tabs>
          <w:tab w:val="left" w:pos="0" w:leader="none"/>
        </w:tabs>
        <w:ind w:firstLine="1133"/>
        <w:jc w:val="both"/>
        <w:rPr>
          <w:sz w:val="24"/>
          <w:szCs w:val="24"/>
        </w:rPr>
      </w:pPr>
      <w:r>
        <w:rPr>
          <w:sz w:val="24"/>
          <w:szCs w:val="24"/>
        </w:rPr>
        <w:t>d) as notas fiscais deverão ser juntadas pela Contratada no sistema SIGEO-JT Execução Financeira e os documentos exigidos no edital e no contrato deverão ser encaminhados ao Núcleo de Análise e Liquidação da Despesa – NULAD;</w:t>
      </w:r>
    </w:p>
    <w:p>
      <w:pPr>
        <w:pStyle w:val="Normal"/>
        <w:tabs>
          <w:tab w:val="left" w:pos="0" w:leader="none"/>
        </w:tabs>
        <w:ind w:firstLine="1133"/>
        <w:jc w:val="both"/>
        <w:rPr>
          <w:sz w:val="24"/>
          <w:szCs w:val="24"/>
        </w:rPr>
      </w:pPr>
      <w:r>
        <w:rPr>
          <w:sz w:val="24"/>
          <w:szCs w:val="24"/>
        </w:rPr>
        <w:t>e) o prazo para pagamento será de 5 (cinco) dias úteis do Termo de Recebimento Definitivo. Será considerada data do pagamento o dia em que constar como emitida a ordem bancária para pagamento. Antes do pagamento à contratada, será realizada consulta ao SICAF para verificar a manutenção das condições de habilitação exigidas no Aviso de Contratação Direta e no Termo de Referência;</w:t>
      </w:r>
    </w:p>
    <w:p>
      <w:pPr>
        <w:pStyle w:val="Normal"/>
        <w:tabs>
          <w:tab w:val="left" w:pos="0" w:leader="none"/>
        </w:tabs>
        <w:ind w:firstLine="1133"/>
        <w:jc w:val="both"/>
        <w:rPr>
          <w:sz w:val="24"/>
          <w:szCs w:val="24"/>
        </w:rPr>
      </w:pPr>
      <w:r>
        <w:rPr>
          <w:sz w:val="24"/>
          <w:szCs w:val="24"/>
        </w:rPr>
        <w:t>f) quando do pagamento, será efetuada a retenção tributária prevista na legislação aplicável. A Contratada regularmente optante pelo Simples Nacional, nos termos da Lei Complementar nº 123, de 2006, não sofrerá a retenção tributária quanto aos impostos e contribuições abrangidos por aquele regime. No entanto, o pagamento ficará condicionado à apresentação de comprovação, por meio de documento oficial, de que faz jus ao tratamento tributário favorecido previsto na referida Lei Complementar;</w:t>
      </w:r>
    </w:p>
    <w:p>
      <w:pPr>
        <w:pStyle w:val="Normal"/>
        <w:tabs>
          <w:tab w:val="left" w:pos="0" w:leader="none"/>
        </w:tabs>
        <w:ind w:firstLine="1133"/>
        <w:jc w:val="both"/>
        <w:rPr>
          <w:b/>
          <w:b/>
          <w:sz w:val="24"/>
          <w:szCs w:val="24"/>
        </w:rPr>
      </w:pPr>
      <w:r>
        <w:rPr>
          <w:sz w:val="24"/>
          <w:szCs w:val="24"/>
        </w:rPr>
        <w:t>g) havendo erro na(s) nota(s) fiscal(s)/fatura(s) ou qualquer circunstância que impeça a liquidação da despesa, aquela será restituída ou será comunicada a irregularidade ao fornecedor, interrompendo-se o prazo para pagamento até que este providencie as medidas saneadoras.</w:t>
      </w:r>
      <w:r>
        <w:rPr>
          <w:b/>
          <w:sz w:val="24"/>
          <w:szCs w:val="24"/>
        </w:rPr>
        <w:t xml:space="preserve"> </w:t>
      </w:r>
    </w:p>
    <w:p>
      <w:pPr>
        <w:pStyle w:val="Normal"/>
        <w:tabs>
          <w:tab w:val="left" w:pos="0" w:leader="none"/>
        </w:tabs>
        <w:ind w:firstLine="1133"/>
        <w:jc w:val="both"/>
        <w:rPr>
          <w:sz w:val="24"/>
          <w:szCs w:val="24"/>
        </w:rPr>
      </w:pPr>
      <w:r>
        <w:rPr>
          <w:sz w:val="24"/>
          <w:szCs w:val="24"/>
        </w:rPr>
        <w:t>h) cabe à Contratada proceder ao seu cadastramento no SIGEO-JT - Sistema Integrado de Gestão Orçamentária e Financeira da Justiça do Trabalho - Módulo Execução Orçamentária, bem como  responsabilizar-se pela gestão de seus dados.</w:t>
      </w:r>
    </w:p>
    <w:p>
      <w:pPr>
        <w:pStyle w:val="Normal"/>
        <w:spacing w:lineRule="auto" w:line="276"/>
        <w:jc w:val="both"/>
        <w:rPr>
          <w:color w:val="6AA84F"/>
          <w:sz w:val="24"/>
          <w:szCs w:val="24"/>
        </w:rPr>
      </w:pPr>
      <w:r>
        <w:rPr>
          <w:color w:val="6AA84F"/>
          <w:sz w:val="24"/>
          <w:szCs w:val="24"/>
        </w:rPr>
      </w:r>
    </w:p>
    <w:p>
      <w:pPr>
        <w:pStyle w:val="Normal"/>
        <w:spacing w:lineRule="auto" w:line="276"/>
        <w:jc w:val="both"/>
        <w:rPr>
          <w:color w:val="6AA84F"/>
          <w:sz w:val="24"/>
          <w:szCs w:val="24"/>
        </w:rPr>
      </w:pPr>
      <w:r>
        <w:rPr>
          <w:color w:val="6AA84F"/>
          <w:sz w:val="24"/>
          <w:szCs w:val="24"/>
        </w:rPr>
      </w:r>
    </w:p>
    <w:p>
      <w:pPr>
        <w:pStyle w:val="Normal"/>
        <w:spacing w:lineRule="auto" w:line="276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16 – Penalidades</w:t>
      </w:r>
    </w:p>
    <w:p>
      <w:pPr>
        <w:pStyle w:val="Normal"/>
        <w:spacing w:lineRule="auto" w:line="276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76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Indicação das penalidades a serem aplicadas em caso de inexecução parcial ou total: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As penalidades pela inexecução total ou parcial do ajuste, sem prejuízo das demais  penalidades previstas na Lei nº 14.133/2021 são as seguintes: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6"/>
        </w:numPr>
        <w:spacing w:lineRule="auto" w:line="276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Multa de mora de 0,3% por dia sobre o valor do item em atraso, limitada a 10% do valor do item, sem prejuízo das demais sanções. Em caso de atraso superior a 30 dias, poderá a Administração, a seu critério, declarar a inexecução contratual.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6"/>
        </w:numPr>
        <w:spacing w:lineRule="auto" w:line="276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Multa por inexecução parcial de 5% sobre valor total do contrato.</w:t>
      </w:r>
    </w:p>
    <w:p>
      <w:pPr>
        <w:pStyle w:val="Normal"/>
        <w:numPr>
          <w:ilvl w:val="0"/>
          <w:numId w:val="6"/>
        </w:numPr>
        <w:spacing w:lineRule="auto" w:line="276"/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Multa por inexecução total de 15% sobre o valor total do contrato.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Pela não manutenção da regularidade fiscal e trabalhista:</w:t>
      </w:r>
    </w:p>
    <w:p>
      <w:pPr>
        <w:pStyle w:val="Normal"/>
        <w:ind w:firstLine="1133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1133"/>
        <w:jc w:val="both"/>
        <w:rPr>
          <w:sz w:val="24"/>
          <w:szCs w:val="24"/>
          <w:shd w:fill="FFFFFF" w:val="clear"/>
        </w:rPr>
      </w:pPr>
      <w:r>
        <w:rPr>
          <w:sz w:val="24"/>
          <w:szCs w:val="24"/>
          <w:shd w:fill="FFFFFF" w:val="clear"/>
        </w:rPr>
        <w:t>A regularidade fiscal e trabalhista deverá ser mantida durante a vigência da contratação, sob pena de aplicação de multa de 1% do valor da nota fiscal, cujo valor será retido dos créditos da empresa, sem prejuízo da aplicação das demais penalidades previstas em lei.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Penalidades da Contratada em face da LGPD: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O descumprimento das obrigações relativas ao tratamento de dados incidirá nas seguintes penalidades:</w:t>
      </w:r>
    </w:p>
    <w:p>
      <w:pPr>
        <w:pStyle w:val="Normal"/>
        <w:numPr>
          <w:ilvl w:val="0"/>
          <w:numId w:val="13"/>
        </w:numPr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até 10% (dez por cento) sobre o valor mensal do contrato, na hipótese de utilização dos dados pessoais para finalidade diversa daquela estabelecida para a execução contratual;</w:t>
      </w:r>
    </w:p>
    <w:p>
      <w:pPr>
        <w:pStyle w:val="Normal"/>
        <w:numPr>
          <w:ilvl w:val="0"/>
          <w:numId w:val="13"/>
        </w:numPr>
        <w:ind w:left="720" w:hanging="360"/>
        <w:jc w:val="both"/>
        <w:rPr>
          <w:sz w:val="24"/>
          <w:szCs w:val="24"/>
        </w:rPr>
      </w:pPr>
      <w:r>
        <w:rPr>
          <w:sz w:val="24"/>
          <w:szCs w:val="24"/>
        </w:rPr>
        <w:t>até 20% (vinte por cento) sobre o valor mensal do contrato, na hipótese de do compartilhamento não autorizado de dados pessoais com terceiros.</w:t>
      </w:r>
    </w:p>
    <w:p>
      <w:pPr>
        <w:pStyle w:val="Normal"/>
        <w:numPr>
          <w:ilvl w:val="1"/>
          <w:numId w:val="13"/>
        </w:numPr>
        <w:ind w:left="1440" w:hanging="360"/>
        <w:jc w:val="both"/>
        <w:rPr>
          <w:sz w:val="24"/>
          <w:szCs w:val="24"/>
        </w:rPr>
      </w:pPr>
      <w:r>
        <w:rPr>
          <w:sz w:val="24"/>
          <w:szCs w:val="24"/>
        </w:rPr>
        <w:t>As penalidades previstas nas alíneas “a” e “b” serão aplicadas por ocorrência e, no caso de reincidência, serão aplicadas em dobro.</w:t>
      </w:r>
    </w:p>
    <w:p>
      <w:pPr>
        <w:pStyle w:val="Normal"/>
        <w:numPr>
          <w:ilvl w:val="1"/>
          <w:numId w:val="13"/>
        </w:numPr>
        <w:ind w:left="1440" w:hanging="360"/>
        <w:jc w:val="both"/>
        <w:rPr>
          <w:sz w:val="24"/>
          <w:szCs w:val="24"/>
        </w:rPr>
      </w:pPr>
      <w:r>
        <w:rPr>
          <w:sz w:val="24"/>
          <w:szCs w:val="24"/>
        </w:rPr>
        <w:t>As penalidades previstas nas alíneas a e b não excluem a responsabilidade das empresas pela aplicação das sanções previstas no art. 52 e o ressarcimento de danos, na forma prevista no § 4º do art. 42, ambos da LGPD.</w:t>
      </w:r>
    </w:p>
    <w:p>
      <w:pPr>
        <w:pStyle w:val="Normal"/>
        <w:ind w:left="720" w:hanging="0"/>
        <w:jc w:val="both"/>
        <w:rPr>
          <w:color w:val="6AA84F"/>
          <w:sz w:val="24"/>
          <w:szCs w:val="24"/>
        </w:rPr>
      </w:pPr>
      <w:r>
        <w:rPr>
          <w:color w:val="6AA84F"/>
          <w:sz w:val="24"/>
          <w:szCs w:val="24"/>
        </w:rPr>
      </w:r>
    </w:p>
    <w:p>
      <w:pPr>
        <w:pStyle w:val="Normal"/>
        <w:tabs>
          <w:tab w:val="left" w:pos="0" w:leader="none"/>
        </w:tabs>
        <w:spacing w:lineRule="auto" w:line="276"/>
        <w:jc w:val="both"/>
        <w:rPr>
          <w:color w:val="00B0F0"/>
          <w:sz w:val="24"/>
          <w:szCs w:val="24"/>
        </w:rPr>
      </w:pPr>
      <w:r>
        <w:rPr>
          <w:color w:val="00B0F0"/>
          <w:sz w:val="24"/>
          <w:szCs w:val="24"/>
        </w:rPr>
      </w:r>
    </w:p>
    <w:p>
      <w:pPr>
        <w:pStyle w:val="Normal"/>
        <w:spacing w:lineRule="auto" w:line="276"/>
        <w:jc w:val="both"/>
        <w:rPr>
          <w:color w:val="00B0F0"/>
          <w:sz w:val="28"/>
          <w:szCs w:val="28"/>
        </w:rPr>
      </w:pPr>
      <w:r>
        <w:rPr>
          <w:b/>
          <w:sz w:val="28"/>
          <w:szCs w:val="28"/>
        </w:rPr>
        <w:t>17 - Declaração da viabilidade ou não da contratação</w:t>
      </w:r>
    </w:p>
    <w:p>
      <w:pPr>
        <w:pStyle w:val="Normal"/>
        <w:tabs>
          <w:tab w:val="left" w:pos="0" w:leader="none"/>
        </w:tabs>
        <w:spacing w:lineRule="auto" w:line="276"/>
        <w:jc w:val="both"/>
        <w:rPr>
          <w:color w:val="00B0F0"/>
          <w:sz w:val="24"/>
          <w:szCs w:val="24"/>
        </w:rPr>
      </w:pPr>
      <w:r>
        <w:rPr>
          <w:color w:val="00B0F0"/>
          <w:sz w:val="24"/>
          <w:szCs w:val="24"/>
        </w:rPr>
      </w:r>
    </w:p>
    <w:p>
      <w:pPr>
        <w:pStyle w:val="Normal"/>
        <w:tabs>
          <w:tab w:val="left" w:pos="0" w:leader="none"/>
        </w:tabs>
        <w:spacing w:lineRule="auto" w:line="276"/>
        <w:ind w:firstLine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equipe entende viável a contratação, considerando que a prestação do serviço contribui para melhor qualidade e segurança do evento, </w:t>
      </w:r>
      <w:r>
        <w:rPr>
          <w:sz w:val="24"/>
          <w:szCs w:val="24"/>
          <w:shd w:fill="FFFFFF" w:val="clear"/>
        </w:rPr>
        <w:t>facilitando o trajeto dos convidados, proporcionando mais segurança e comodidade, além de contribuir para a pontualidade dos participantes e na integração destes. A viabilidade considera ainda o expressivo número de participantes e a atual frota do TRT-12ª Região, bem como o atual quadro de pessoal da área de  transporte, que não conseguem atender a demanda.</w:t>
      </w:r>
    </w:p>
    <w:p>
      <w:pPr>
        <w:pStyle w:val="Normal"/>
        <w:tabs>
          <w:tab w:val="left" w:pos="0" w:leader="none"/>
        </w:tabs>
        <w:spacing w:lineRule="auto" w:line="360"/>
        <w:ind w:firstLine="56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0" w:leader="none"/>
        </w:tabs>
        <w:spacing w:lineRule="auto" w:line="276"/>
        <w:jc w:val="both"/>
        <w:rPr>
          <w:color w:val="00B0F0"/>
          <w:sz w:val="24"/>
          <w:szCs w:val="24"/>
        </w:rPr>
      </w:pPr>
      <w:r>
        <w:rPr>
          <w:color w:val="00B0F0"/>
          <w:sz w:val="24"/>
          <w:szCs w:val="24"/>
        </w:rPr>
      </w:r>
    </w:p>
    <w:p>
      <w:pPr>
        <w:pStyle w:val="Normal"/>
        <w:spacing w:lineRule="auto" w:line="276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18 - Equipe do Planejamento da Contratação </w:t>
      </w:r>
    </w:p>
    <w:p>
      <w:pPr>
        <w:pStyle w:val="Normal"/>
        <w:spacing w:lineRule="auto" w:line="276"/>
        <w:jc w:val="both"/>
        <w:rPr>
          <w:b/>
          <w:b/>
          <w:color w:val="00B0F0"/>
          <w:sz w:val="24"/>
          <w:szCs w:val="24"/>
        </w:rPr>
      </w:pPr>
      <w:r>
        <w:rPr>
          <w:b/>
          <w:color w:val="00B0F0"/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b/>
          <w:color w:val="000001"/>
          <w:sz w:val="24"/>
          <w:szCs w:val="24"/>
        </w:rPr>
        <w:t xml:space="preserve">Integrante demandante titular: </w:t>
      </w:r>
      <w:r>
        <w:rPr>
          <w:sz w:val="24"/>
          <w:szCs w:val="24"/>
        </w:rPr>
        <w:t>Fernanda Gomes Ferreira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Matrícula:1603</w:t>
      </w:r>
    </w:p>
    <w:p>
      <w:pPr>
        <w:pStyle w:val="Normal"/>
        <w:spacing w:lineRule="auto" w:line="276"/>
        <w:jc w:val="both"/>
        <w:rPr>
          <w:b/>
          <w:b/>
          <w:color w:val="000001"/>
          <w:sz w:val="24"/>
          <w:szCs w:val="24"/>
        </w:rPr>
      </w:pPr>
      <w:r>
        <w:rPr>
          <w:sz w:val="24"/>
          <w:szCs w:val="24"/>
        </w:rPr>
        <w:t>Lotação: Escola Judicial do TRT-12ª Região (EJUD12)</w:t>
      </w:r>
    </w:p>
    <w:p>
      <w:pPr>
        <w:pStyle w:val="Normal"/>
        <w:spacing w:lineRule="auto" w:line="276"/>
        <w:jc w:val="both"/>
        <w:rPr>
          <w:b/>
          <w:b/>
          <w:color w:val="000001"/>
          <w:sz w:val="24"/>
          <w:szCs w:val="24"/>
        </w:rPr>
      </w:pPr>
      <w:r>
        <w:rPr>
          <w:b/>
          <w:color w:val="000001"/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b/>
          <w:color w:val="000001"/>
          <w:sz w:val="24"/>
          <w:szCs w:val="24"/>
        </w:rPr>
        <w:t xml:space="preserve">Integrante demandante substituto: </w:t>
      </w:r>
      <w:r>
        <w:rPr>
          <w:sz w:val="24"/>
          <w:szCs w:val="24"/>
        </w:rPr>
        <w:t>Cláudia Voigt Espinola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Matrícula: 2363</w:t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Lotação: Coordenadoria de Formação Técnica-Administrativa e Gerencial </w:t>
      </w:r>
      <w:r>
        <w:rPr/>
        <w:t>(COFTAG)</w:t>
      </w:r>
    </w:p>
    <w:p>
      <w:pPr>
        <w:pStyle w:val="Normal"/>
        <w:spacing w:lineRule="auto" w:line="276"/>
        <w:jc w:val="both"/>
        <w:rPr>
          <w:b/>
          <w:b/>
          <w:color w:val="000001"/>
          <w:sz w:val="24"/>
          <w:szCs w:val="24"/>
        </w:rPr>
      </w:pPr>
      <w:r>
        <w:rPr>
          <w:b/>
          <w:color w:val="000001"/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b/>
          <w:color w:val="000001"/>
          <w:sz w:val="24"/>
          <w:szCs w:val="24"/>
        </w:rPr>
        <w:t xml:space="preserve">Integrante técnico titular: </w:t>
      </w:r>
      <w:r>
        <w:rPr>
          <w:sz w:val="24"/>
          <w:szCs w:val="24"/>
        </w:rPr>
        <w:t>Claudionor da Silva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Matrícula:1192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Lotação: SSI - Secretaria de Segurança Institucional</w:t>
      </w:r>
    </w:p>
    <w:p>
      <w:pPr>
        <w:pStyle w:val="Normal"/>
        <w:spacing w:lineRule="auto" w:line="276"/>
        <w:jc w:val="both"/>
        <w:rPr>
          <w:b/>
          <w:b/>
          <w:color w:val="000001"/>
          <w:sz w:val="24"/>
          <w:szCs w:val="24"/>
        </w:rPr>
      </w:pPr>
      <w:r>
        <w:rPr>
          <w:b/>
          <w:color w:val="000001"/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b/>
          <w:color w:val="000001"/>
          <w:sz w:val="24"/>
          <w:szCs w:val="24"/>
        </w:rPr>
        <w:t xml:space="preserve">Integrante técnico substituto: </w:t>
      </w:r>
      <w:r>
        <w:rPr>
          <w:sz w:val="24"/>
          <w:szCs w:val="24"/>
        </w:rPr>
        <w:t>Norton Rodrigo Schell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Matrícula:5038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Lotação: DPJUD - Divisão de Polícia Judicial</w:t>
      </w:r>
    </w:p>
    <w:p>
      <w:pPr>
        <w:pStyle w:val="Normal"/>
        <w:spacing w:lineRule="auto" w:line="276"/>
        <w:jc w:val="both"/>
        <w:rPr>
          <w:b/>
          <w:b/>
          <w:color w:val="000001"/>
          <w:sz w:val="24"/>
          <w:szCs w:val="24"/>
        </w:rPr>
      </w:pPr>
      <w:r>
        <w:rPr>
          <w:b/>
          <w:color w:val="000001"/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Integrante administrativo titular: </w:t>
      </w:r>
      <w:r>
        <w:rPr>
          <w:sz w:val="24"/>
          <w:szCs w:val="24"/>
        </w:rPr>
        <w:t>SÉRGIO MORITZ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Matrícula: </w:t>
      </w:r>
      <w:r>
        <w:rPr>
          <w:sz w:val="24"/>
          <w:szCs w:val="24"/>
        </w:rPr>
        <w:t>800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Lotação: </w:t>
      </w:r>
      <w:r>
        <w:rPr>
          <w:sz w:val="24"/>
          <w:szCs w:val="24"/>
        </w:rPr>
        <w:t>CLC</w:t>
      </w:r>
    </w:p>
    <w:p>
      <w:pPr>
        <w:pStyle w:val="Normal"/>
        <w:spacing w:lineRule="auto" w:line="276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Integrante administrativo substituto: </w:t>
      </w:r>
      <w:r>
        <w:rPr>
          <w:sz w:val="24"/>
          <w:szCs w:val="24"/>
        </w:rPr>
        <w:t>MAURÍCIO LUIZ MORESCO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Matrícula: </w:t>
      </w:r>
      <w:r>
        <w:rPr>
          <w:sz w:val="24"/>
          <w:szCs w:val="24"/>
        </w:rPr>
        <w:t>7384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Lotação: </w:t>
      </w:r>
      <w:r>
        <w:rPr>
          <w:sz w:val="24"/>
          <w:szCs w:val="24"/>
        </w:rPr>
        <w:t>CLC</w:t>
      </w:r>
    </w:p>
    <w:p>
      <w:pPr>
        <w:pStyle w:val="Normal"/>
        <w:spacing w:lineRule="auto" w:line="276"/>
        <w:jc w:val="both"/>
        <w:rPr>
          <w:b/>
          <w:b/>
          <w:color w:val="990000"/>
          <w:sz w:val="24"/>
          <w:szCs w:val="24"/>
        </w:rPr>
      </w:pPr>
      <w:r>
        <w:rPr>
          <w:b/>
          <w:color w:val="990000"/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b/>
          <w:sz w:val="24"/>
          <w:szCs w:val="24"/>
        </w:rPr>
        <w:t>Data:</w:t>
      </w:r>
      <w:r>
        <w:rPr>
          <w:sz w:val="24"/>
          <w:szCs w:val="24"/>
        </w:rPr>
        <w:t xml:space="preserve"> Florianópolis, 16 de outubro de 2023.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/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1700" w:right="1133" w:header="720" w:top="1700" w:footer="0" w:bottom="1133" w:gutter="0"/>
      <w:pgNumType w:start="1"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default"/>
  </w:font>
  <w:font w:name="Wingdings">
    <w:charset w:val="02"/>
    <w:family w:val="auto"/>
    <w:pitch w:val="default"/>
  </w:font>
  <w:font w:name="Noto Sans Symbols">
    <w:charset w:val="01"/>
    <w:family w:val="swiss"/>
    <w:pitch w:val="default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enter" w:pos="4252" w:leader="none"/>
        <w:tab w:val="right" w:pos="8504" w:leader="none"/>
      </w:tabs>
      <w:spacing w:lineRule="auto" w:line="240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15</w:t>
    </w:r>
    <w:r>
      <w:fldChar w:fldCharType="end"/>
    </w:r>
    <w:r>
      <w:rPr>
        <w:color w:val="000000"/>
        <w:sz w:val="20"/>
        <w:szCs w:val="20"/>
      </w:rPr>
      <w:t xml:space="preserve">                                                           </w:t>
    </w:r>
    <w:r>
      <w:rPr>
        <w:sz w:val="20"/>
        <w:szCs w:val="20"/>
      </w:rPr>
      <w:t xml:space="preserve"> </w:t>
    </w:r>
    <w:r>
      <w:rPr>
        <w:sz w:val="20"/>
        <w:szCs w:val="20"/>
      </w:rPr>
      <w:t>VERSÃO 1.3</w:t>
    </w:r>
  </w:p>
  <w:p>
    <w:pPr>
      <w:pStyle w:val="Normal"/>
      <w:spacing w:lineRule="auto" w:line="240" w:before="0" w:after="720"/>
      <w:jc w:val="right"/>
      <w:rPr>
        <w:sz w:val="20"/>
        <w:szCs w:val="20"/>
      </w:rPr>
    </w:pPr>
    <w:r>
      <w:rPr>
        <w:sz w:val="20"/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b/>
        <w:b/>
      </w:rPr>
    </w:pPr>
    <w:r>
      <w:rPr/>
      <w:drawing>
        <wp:inline distT="0" distB="0" distL="0" distR="0">
          <wp:extent cx="942975" cy="942975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>
    <w:pPr>
      <w:pStyle w:val="Normal"/>
      <w:jc w:val="center"/>
      <w:rPr>
        <w:b/>
        <w:b/>
      </w:rPr>
    </w:pPr>
    <w:r>
      <w:rPr>
        <w:b/>
      </w:rPr>
      <w:t>TRIBUNAL REGIONAL DO TRABALHO DA 12ª REGIÃO</w:t>
    </w:r>
  </w:p>
  <w:p>
    <w:pPr>
      <w:pStyle w:val="Normal"/>
      <w:tabs>
        <w:tab w:val="center" w:pos="4252" w:leader="none"/>
        <w:tab w:val="right" w:pos="8504" w:leader="none"/>
      </w:tabs>
      <w:spacing w:lineRule="auto" w:line="240"/>
      <w:rPr>
        <w:color w:val="000000"/>
      </w:rPr>
    </w:pPr>
    <w:r>
      <w:rPr>
        <w:color w:val="00000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hAnsi="Arial" w:cs="Arial" w:hint="default"/>
        <w:sz w:val="24"/>
        <w:u w:val="none"/>
        <w:szCs w:val="22"/>
        <w:rFonts w:cs="Arial"/>
        <w:color w:val="222222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sz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sz w:val="24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sz w:val="24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sz w:val="24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sz w:val="24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sz w:val="24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sz w:val="24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sz w:val="24"/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sz w:val="24"/>
        <w:u w:val="none"/>
        <w:color w:val="6AA84F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z w:val="24"/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z w:val="24"/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z w:val="24"/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z w:val="24"/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z w:val="24"/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z w:val="24"/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z w:val="24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z w:val="24"/>
        <w:u w:val="none"/>
      </w:rPr>
    </w:lvl>
  </w:abstractNum>
  <w:abstractNum w:abstractNumId="3">
    <w:lvl w:ilvl="0">
      <w:start w:val="1"/>
      <w:numFmt w:val="upperLetter"/>
      <w:lvlText w:val="%1."/>
      <w:lvlJc w:val="left"/>
      <w:pPr>
        <w:ind w:left="1440" w:hanging="360"/>
      </w:pPr>
      <w:rPr>
        <w:sz w:val="24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sz w:val="24"/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sz w:val="24"/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sz w:val="24"/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sz w:val="24"/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sz w:val="24"/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z w:val="24"/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z w:val="24"/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sz w:val="24"/>
        <w:u w:val="none"/>
      </w:rPr>
    </w:lvl>
  </w:abstractNum>
  <w:abstractNum w:abstractNumId="4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sz w:val="24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sz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sz w:val="24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sz w:val="24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sz w:val="24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sz w:val="24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sz w:val="24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sz w:val="24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sz w:val="24"/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sz w:val="24"/>
        <w:color w:val="6AA84F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>
    <w:lvl w:ilvl="0">
      <w:start w:val="1"/>
      <w:numFmt w:val="lowerLetter"/>
      <w:lvlText w:val="%1)"/>
      <w:lvlJc w:val="left"/>
      <w:pPr>
        <w:ind w:left="720" w:hanging="360"/>
      </w:pPr>
      <w:rPr>
        <w:sz w:val="24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z w:val="24"/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z w:val="24"/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z w:val="24"/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z w:val="24"/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z w:val="24"/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z w:val="24"/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z w:val="24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z w:val="24"/>
        <w:u w:val="none"/>
      </w:rPr>
    </w:lvl>
  </w:abstractNum>
  <w:abstractNum w:abstractNumId="7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sz w:val="24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sz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sz w:val="24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sz w:val="24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sz w:val="24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sz w:val="24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sz w:val="24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sz w:val="24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sz w:val="24"/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Arial" w:hAnsi="Arial" w:cs="Arial" w:hint="default"/>
        <w:sz w:val="24"/>
        <w:u w:val="none"/>
        <w:szCs w:val="22"/>
        <w:rFonts w:cs="Arial"/>
        <w:color w:val="222222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sz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sz w:val="24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sz w:val="24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sz w:val="24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sz w:val="24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sz w:val="24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sz w:val="24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sz w:val="24"/>
        <w:u w:val="none"/>
      </w:rPr>
    </w:lvl>
  </w:abstractNum>
  <w:abstractNum w:abstractNumId="9">
    <w:lvl w:ilvl="0">
      <w:start w:val="1"/>
      <w:numFmt w:val="upperLetter"/>
      <w:lvlText w:val="%1."/>
      <w:lvlJc w:val="left"/>
      <w:pPr>
        <w:ind w:left="1440" w:hanging="360"/>
      </w:pPr>
      <w:rPr>
        <w:sz w:val="24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sz w:val="24"/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sz w:val="24"/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sz w:val="24"/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sz w:val="24"/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sz w:val="24"/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sz w:val="24"/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sz w:val="24"/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sz w:val="24"/>
        <w:u w:val="none"/>
      </w:rPr>
    </w:lvl>
  </w:abstractNum>
  <w:abstractNum w:abstractNumId="10">
    <w:lvl w:ilvl="0">
      <w:start w:val="1"/>
      <w:numFmt w:val="upperLetter"/>
      <w:lvlText w:val="%1."/>
      <w:lvlJc w:val="left"/>
      <w:pPr>
        <w:ind w:left="720" w:hanging="360"/>
      </w:pPr>
      <w:rPr>
        <w:sz w:val="24"/>
        <w:u w:val="none"/>
        <w:color w:val="6AA84F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4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z w:val="24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4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4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z w:val="24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4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z w:val="24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z w:val="24"/>
        <w:u w:val="none"/>
      </w:rPr>
    </w:lvl>
  </w:abstractNum>
  <w:abstractNum w:abstractNumId="11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sz w:val="24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sz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sz w:val="24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sz w:val="24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sz w:val="24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sz w:val="24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sz w:val="24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sz w:val="24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sz w:val="24"/>
        <w:u w:val="none"/>
      </w:rPr>
    </w:lvl>
  </w:abstractNum>
  <w:abstractNum w:abstractNumId="12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hAnsi="Noto Sans Symbols" w:cs="Noto Sans Symbols" w:hint="default"/>
        <w:sz w:val="24"/>
        <w:rFonts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cs="Noto Sans Symbols" w:hint="default"/>
        <w:rFonts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rFonts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cs="Noto Sans Symbols" w:hint="default"/>
        <w:rFonts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rFonts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cs="Noto Sans Symbols" w:hint="default"/>
        <w:rFonts w:cs="Noto Sans Symbols"/>
      </w:rPr>
    </w:lvl>
  </w:abstractNum>
  <w:abstractNum w:abstractNumId="13">
    <w:lvl w:ilvl="0">
      <w:start w:val="1"/>
      <w:numFmt w:val="lowerLetter"/>
      <w:lvlText w:val="%1."/>
      <w:lvlJc w:val="left"/>
      <w:pPr>
        <w:ind w:left="720" w:hanging="360"/>
      </w:pPr>
      <w:rPr>
        <w:sz w:val="24"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sz w:val="24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z w:val="24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4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4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z w:val="24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4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z w:val="24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z w:val="24"/>
        <w:u w:val="none"/>
      </w:rPr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  <w:rPr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4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z w:val="24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4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4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z w:val="24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4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z w:val="24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z w:val="24"/>
        <w:u w:val="none"/>
      </w:rPr>
    </w:lvl>
  </w:abstractNum>
  <w:abstractNum w:abstractNumId="15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zh-CN" w:bidi="hi-IN"/>
      </w:rPr>
    </w:rPrDefault>
    <w:pPrDefault>
      <w:pPr>
        <w:spacing w:lineRule="auto" w:line="276"/>
      </w:pPr>
    </w:pPrDefault>
  </w:docDefaults>
  <w:style w:type="paragraph" w:styleId="Normal">
    <w:name w:val="Normal"/>
    <w:qFormat/>
    <w:pPr>
      <w:widowControl w:val="false"/>
      <w:suppressAutoHyphens w:val="true"/>
      <w:spacing w:lineRule="auto" w:line="276"/>
    </w:pPr>
    <w:rPr>
      <w:rFonts w:ascii="Arial" w:hAnsi="Arial" w:eastAsia="Arial" w:cs="Arial"/>
      <w:color w:val="auto"/>
      <w:sz w:val="22"/>
      <w:szCs w:val="22"/>
      <w:lang w:val="pt-BR" w:eastAsia="zh-CN" w:bidi="hi-IN"/>
    </w:rPr>
  </w:style>
  <w:style w:type="paragraph" w:styleId="Ttulo1">
    <w:name w:val="Título 1"/>
    <w:basedOn w:val="Normal1"/>
    <w:next w:val="Normal"/>
    <w:pPr>
      <w:keepNext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Título 2"/>
    <w:basedOn w:val="Normal1"/>
    <w:next w:val="Normal"/>
    <w:pPr>
      <w:keepNext/>
      <w:keepLines/>
      <w:pageBreakBefore w:val="false"/>
      <w:spacing w:lineRule="auto" w:line="240" w:before="360" w:after="120"/>
    </w:pPr>
    <w:rPr>
      <w:sz w:val="32"/>
      <w:szCs w:val="32"/>
    </w:rPr>
  </w:style>
  <w:style w:type="paragraph" w:styleId="Ttulo3">
    <w:name w:val="Título 3"/>
    <w:basedOn w:val="Normal1"/>
    <w:next w:val="Normal"/>
    <w:pPr>
      <w:keepNext/>
      <w:keepLines/>
      <w:pageBreakBefore w:val="false"/>
      <w:spacing w:lineRule="auto" w:line="240" w:before="320" w:after="80"/>
    </w:pPr>
    <w:rPr>
      <w:color w:val="434343"/>
      <w:sz w:val="28"/>
      <w:szCs w:val="28"/>
    </w:rPr>
  </w:style>
  <w:style w:type="paragraph" w:styleId="Ttulo4">
    <w:name w:val="Título 4"/>
    <w:basedOn w:val="Normal1"/>
    <w:next w:val="Normal"/>
    <w:pPr>
      <w:keepNext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Título 5"/>
    <w:basedOn w:val="Normal1"/>
    <w:next w:val="Normal"/>
    <w:pPr>
      <w:keepNext/>
      <w:keepLines/>
      <w:pageBreakBefore w:val="false"/>
      <w:spacing w:lineRule="auto" w:line="240" w:before="240" w:after="80"/>
    </w:pPr>
    <w:rPr>
      <w:color w:val="666666"/>
    </w:rPr>
  </w:style>
  <w:style w:type="paragraph" w:styleId="Ttulo6">
    <w:name w:val="Título 6"/>
    <w:basedOn w:val="Normal1"/>
    <w:next w:val="Normal"/>
    <w:pPr>
      <w:keepNext/>
      <w:keepLines/>
      <w:pageBreakBefore w:val="false"/>
      <w:spacing w:lineRule="auto" w:line="240" w:before="240" w:after="80"/>
    </w:pPr>
    <w:rPr>
      <w:i/>
      <w:color w:val="666666"/>
    </w:rPr>
  </w:style>
  <w:style w:type="character" w:styleId="ListLabel1">
    <w:name w:val="ListLabel 1"/>
    <w:qFormat/>
    <w:rPr>
      <w:rFonts w:eastAsia="Arial" w:cs="Arial"/>
      <w:color w:val="222222"/>
      <w:sz w:val="24"/>
      <w:szCs w:val="22"/>
      <w:u w:val="none"/>
    </w:rPr>
  </w:style>
  <w:style w:type="character" w:styleId="ListLabel2">
    <w:name w:val="ListLabel 2"/>
    <w:qFormat/>
    <w:rPr>
      <w:sz w:val="24"/>
      <w:u w:val="none"/>
    </w:rPr>
  </w:style>
  <w:style w:type="character" w:styleId="ListLabel3">
    <w:name w:val="ListLabel 3"/>
    <w:qFormat/>
    <w:rPr>
      <w:color w:val="6AA84F"/>
      <w:sz w:val="24"/>
      <w:u w:val="none"/>
    </w:rPr>
  </w:style>
  <w:style w:type="character" w:styleId="ListLabel4">
    <w:name w:val="ListLabel 4"/>
    <w:qFormat/>
    <w:rPr>
      <w:color w:val="6AA84F"/>
      <w:sz w:val="24"/>
    </w:rPr>
  </w:style>
  <w:style w:type="character" w:styleId="ListLabel5">
    <w:name w:val="ListLabel 5"/>
    <w:qFormat/>
    <w:rPr>
      <w:rFonts w:ascii="Arial" w:hAnsi="Arial" w:eastAsia="Noto Sans Symbols" w:cs="Noto Sans Symbols"/>
      <w:color w:val="000000"/>
      <w:sz w:val="24"/>
    </w:rPr>
  </w:style>
  <w:style w:type="character" w:styleId="ListLabel6">
    <w:name w:val="ListLabel 6"/>
    <w:qFormat/>
    <w:rPr>
      <w:rFonts w:eastAsia="Courier New" w:cs="Courier New"/>
    </w:rPr>
  </w:style>
  <w:style w:type="character" w:styleId="ListLabel7">
    <w:name w:val="ListLabel 7"/>
    <w:qFormat/>
    <w:rPr>
      <w:rFonts w:eastAsia="Noto Sans Symbols" w:cs="Noto Sans Symbols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Corpo do texto"/>
    <w:basedOn w:val="Normal"/>
    <w:pPr>
      <w:spacing w:lineRule="auto" w:line="288" w:before="0" w:after="140"/>
    </w:pPr>
    <w:rPr/>
  </w:style>
  <w:style w:type="paragraph" w:styleId="Lista">
    <w:name w:val="Lista"/>
    <w:basedOn w:val="Corpodotexto"/>
    <w:pPr/>
    <w:rPr>
      <w:rFonts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Normal1" w:default="1">
    <w:name w:val="LO-normal"/>
    <w:qFormat/>
    <w:pPr>
      <w:widowControl/>
      <w:suppressAutoHyphens w:val="true"/>
      <w:bidi w:val="0"/>
      <w:spacing w:lineRule="auto" w:line="276"/>
      <w:jc w:val="left"/>
    </w:pPr>
    <w:rPr>
      <w:rFonts w:ascii="Arial" w:hAnsi="Arial" w:eastAsia="Arial" w:cs="Arial"/>
      <w:color w:val="auto"/>
      <w:sz w:val="22"/>
      <w:szCs w:val="22"/>
      <w:lang w:val="pt-BR" w:eastAsia="zh-CN" w:bidi="hi-IN"/>
    </w:rPr>
  </w:style>
  <w:style w:type="paragraph" w:styleId="Ttulododocumento">
    <w:name w:val="Título do documento"/>
    <w:basedOn w:val="Normal1"/>
    <w:next w:val="Normal"/>
    <w:pPr>
      <w:keepNext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ítulo"/>
    <w:basedOn w:val="Normal1"/>
    <w:next w:val="Normal"/>
    <w:pPr>
      <w:keepNext/>
      <w:keepLines/>
      <w:pageBreakBefore w:val="false"/>
      <w:spacing w:lineRule="auto" w:line="240" w:before="0" w:after="320"/>
    </w:pPr>
    <w:rPr>
      <w:color w:val="666666"/>
      <w:sz w:val="30"/>
      <w:szCs w:val="30"/>
    </w:rPr>
  </w:style>
  <w:style w:type="paragraph" w:styleId="Cabealho">
    <w:name w:val="Cabeçalho"/>
    <w:basedOn w:val="Normal"/>
    <w:pPr/>
    <w:rPr/>
  </w:style>
  <w:style w:type="paragraph" w:styleId="Rodap">
    <w:name w:val="Rodapé"/>
    <w:basedOn w:val="Normal"/>
    <w:pPr/>
    <w:rPr/>
  </w:style>
  <w:style w:type="paragraph" w:styleId="Citaes">
    <w:name w:val="Citações"/>
    <w:basedOn w:val="Normal"/>
    <w:qFormat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trt12.jus.br/portal/areas/ascom/extranet/documentos/Resolucao_adm_006_2016.pdf" TargetMode="External"/><Relationship Id="rId3" Type="http://schemas.openxmlformats.org/officeDocument/2006/relationships/hyperlink" Target="http://trtapl3.trt12.gov.br/cmdg/img_legis/2022/061011340.pdf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87</TotalTime>
  <Application>LibreOffice/4.4.5.2$Windows_x86 LibreOffice_project/a22f674fd25a3b6f45bdebf25400ed2adff0ff99</Application>
  <Paragraphs>201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pt-BR</dc:language>
  <dcterms:modified xsi:type="dcterms:W3CDTF">2023-10-18T18:23:58Z</dcterms:modified>
  <cp:revision>1</cp:revision>
</cp:coreProperties>
</file>