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b/>
          <w:sz w:val="32"/>
          <w:szCs w:val="32"/>
        </w:rPr>
        <w:t>Tribunal Regional do Trabalho da 12ª Região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ORÇAMENTO - SERVIÇO</w:t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Ttulo1"/>
        <w:widowControl/>
        <w:spacing w:lineRule="auto" w:line="240" w:before="0" w:after="0"/>
        <w:jc w:val="center"/>
        <w:rPr>
          <w:sz w:val="26"/>
          <w:szCs w:val="26"/>
        </w:rPr>
      </w:pPr>
      <w:bookmarkStart w:id="0" w:name="_heading=h.zjo5ngp760u"/>
      <w:bookmarkEnd w:id="0"/>
      <w:r>
        <w:rPr>
          <w:sz w:val="26"/>
          <w:szCs w:val="26"/>
        </w:rPr>
        <w:t>Reparos para recuperação da cobertura do prédio do Fórum Trabalhista de Brusque</w:t>
      </w:r>
    </w:p>
    <w:p>
      <w:pPr>
        <w:pStyle w:val="Normal"/>
        <w:widowControl/>
        <w:ind w:left="72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center"/>
        <w:rPr>
          <w:i/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"/>
        <w:tblW w:w="10035" w:type="dxa"/>
        <w:jc w:val="left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5098"/>
        <w:gridCol w:w="4936"/>
      </w:tblGrid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2"/>
        <w:tblW w:w="5100" w:type="dxa"/>
        <w:jc w:val="left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5100"/>
      </w:tblGrid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>
      <w:pPr>
        <w:pStyle w:val="Normal"/>
        <w:numPr>
          <w:ilvl w:val="0"/>
          <w:numId w:val="2"/>
        </w:numPr>
        <w:spacing w:lineRule="auto" w:line="240"/>
        <w:ind w:left="720" w:hanging="360"/>
        <w:rPr>
          <w:u w:val="none"/>
        </w:rPr>
      </w:pPr>
      <w:r>
        <w:rPr>
          <w:i/>
        </w:rPr>
        <w:t>Os dados bancários acima indicados deverão ser, necessariamente, os da proponente. Não serão realizados pagamentos em conta bancária de terceiros, de titularidade diferente.</w:t>
      </w:r>
      <w:r>
        <w:rPr>
          <w:b/>
          <w:sz w:val="24"/>
          <w:szCs w:val="24"/>
        </w:rPr>
        <w:tab/>
        <w:tab/>
        <w:tab/>
        <w:tab/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OBJETO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72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mc:AlternateContent>
          <mc:Choice Requires="wps">
            <w:drawing>
              <wp:anchor behindDoc="0" distT="114300" distB="114300" distL="114300" distR="114300" simplePos="0" locked="0" layoutInCell="1" allowOverlap="1" relativeHeight="2">
                <wp:simplePos x="0" y="0"/>
                <wp:positionH relativeFrom="column">
                  <wp:posOffset>274320</wp:posOffset>
                </wp:positionH>
                <wp:positionV relativeFrom="paragraph">
                  <wp:posOffset>0</wp:posOffset>
                </wp:positionV>
                <wp:extent cx="5439410" cy="836295"/>
                <wp:effectExtent l="0" t="0" r="0" b="0"/>
                <wp:wrapSquare wrapText="bothSides"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880" cy="835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3"/>
                              <w:tblpPr w:bottomFromText="180" w:horzAnchor="text" w:leftFromText="180" w:rightFromText="180" w:tblpX="545" w:tblpXSpec="" w:tblpY="0" w:tblpYSpec="" w:topFromText="180" w:vertAnchor="text"/>
                              <w:tblW w:w="8565" w:type="dxa"/>
                              <w:jc w:val="left"/>
                              <w:tblInd w:w="103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top w:w="0" w:type="dxa"/>
                                <w:left w:w="98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5610"/>
                              <w:gridCol w:w="2954"/>
                            </w:tblGrid>
                            <w:tr>
                              <w:trPr/>
                              <w:tc>
                                <w:tcPr>
                                  <w:tcW w:w="56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Serviço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Preço Total (R$)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61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Recuperação para reparo da cobertura do prédio do F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órum 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T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rabalhista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de Brusque, 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conforme Memorial descritivo da Obra.</w:t>
                                  </w:r>
                                </w:p>
                              </w:tc>
                              <w:tc>
                                <w:tcPr>
                                  <w:tcW w:w="29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fill="auto" w:val="clear"/>
                                  <w:tcMar>
                                    <w:left w:w="98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/>
                                    <w:ind w:right="0" w:hanging="0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*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dodoquadr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Quadro1" stroked="f" style="position:absolute;margin-left:21.6pt;margin-top:0pt;width:428.2pt;height:65.75pt">
                <w10:wrap type="none"/>
                <v:fill on="false" o:detectmouseclick="t"/>
                <v:stroke color="#3465a4" joinstyle="round" endcap="flat"/>
                <v:textbox>
                  <w:txbxContent>
                    <w:tbl>
                      <w:tblPr>
                        <w:tblStyle w:val="Table3"/>
                        <w:tblpPr w:bottomFromText="180" w:horzAnchor="text" w:leftFromText="180" w:rightFromText="180" w:tblpX="545" w:tblpXSpec="" w:tblpY="0" w:tblpYSpec="" w:topFromText="180" w:vertAnchor="text"/>
                        <w:tblW w:w="8565" w:type="dxa"/>
                        <w:jc w:val="left"/>
                        <w:tblInd w:w="103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top w:w="0" w:type="dxa"/>
                          <w:left w:w="98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5610"/>
                        <w:gridCol w:w="2954"/>
                      </w:tblGrid>
                      <w:tr>
                        <w:trPr/>
                        <w:tc>
                          <w:tcPr>
                            <w:tcW w:w="56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Serviço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Preço Total (R$)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61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Recuperação para reparo da cobertura do prédio do F</w:t>
                            </w:r>
                            <w:r>
                              <w:rPr>
                                <w:color w:val="auto"/>
                              </w:rPr>
                              <w:t xml:space="preserve">órum </w:t>
                            </w:r>
                            <w:r>
                              <w:rPr>
                                <w:color w:val="auto"/>
                              </w:rPr>
                              <w:t>T</w:t>
                            </w:r>
                            <w:r>
                              <w:rPr>
                                <w:color w:val="auto"/>
                              </w:rPr>
                              <w:t>rabalhista</w:t>
                            </w:r>
                            <w:r>
                              <w:rPr>
                                <w:color w:val="auto"/>
                              </w:rPr>
                              <w:t xml:space="preserve"> de Brusque, </w:t>
                            </w:r>
                            <w:r>
                              <w:rPr>
                                <w:color w:val="auto"/>
                              </w:rPr>
                              <w:t>conforme Memorial descritivo da Obra.</w:t>
                            </w:r>
                          </w:p>
                        </w:tc>
                        <w:tc>
                          <w:tcPr>
                            <w:tcW w:w="29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fill="auto" w:val="clear"/>
                            <w:tcMar>
                              <w:left w:w="98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/>
                              <w:ind w:right="0" w:hanging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*</w:t>
                            </w:r>
                          </w:p>
                        </w:tc>
                      </w:tr>
                    </w:tbl>
                    <w:p>
                      <w:pPr>
                        <w:pStyle w:val="Contedodoquadro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0"/>
          <w:numId w:val="3"/>
        </w:numPr>
        <w:spacing w:lineRule="auto" w:line="240"/>
        <w:ind w:left="720" w:hanging="360"/>
        <w:jc w:val="both"/>
        <w:rPr>
          <w:i/>
          <w:i/>
        </w:rPr>
      </w:pPr>
      <w:r>
        <w:rPr>
          <w:i/>
        </w:rPr>
        <w:t>*O detalhamento dos preços dos serviços deverá ser feito por meio de planilha orçamentária conforme modelo anexo.</w:t>
      </w:r>
    </w:p>
    <w:p>
      <w:pPr>
        <w:pStyle w:val="Normal"/>
        <w:numPr>
          <w:ilvl w:val="0"/>
          <w:numId w:val="3"/>
        </w:numPr>
        <w:ind w:left="720" w:hanging="360"/>
        <w:rPr>
          <w:i/>
          <w:i/>
        </w:rPr>
      </w:pPr>
      <w:r>
        <w:rPr>
          <w:i/>
        </w:rPr>
        <w:t>O envio da proposta implica anuência aos termos do Termo de Referência.</w:t>
      </w:r>
    </w:p>
    <w:p>
      <w:pPr>
        <w:pStyle w:val="Normal"/>
        <w:numPr>
          <w:ilvl w:val="0"/>
          <w:numId w:val="3"/>
        </w:numPr>
        <w:spacing w:lineRule="auto" w:line="240"/>
        <w:ind w:left="720" w:hanging="360"/>
        <w:jc w:val="both"/>
        <w:rPr>
          <w:i/>
          <w:i/>
        </w:rPr>
      </w:pPr>
      <w:r>
        <w:rPr>
          <w:i/>
        </w:rPr>
        <w:t>O preço deve contemplar todos os custos, diretos e indiretos, necessários para prestação dos serviços, incluindo pontos elétricos, recolhimento e destinação de resíduos. Se houver divergência entre preço unitário e total, prevalecerá o resultado da multiplicação do preço unitário com duas casas decimais, pela quantidade.</w:t>
      </w:r>
    </w:p>
    <w:p>
      <w:pPr>
        <w:pStyle w:val="Normal"/>
        <w:widowControl/>
        <w:numPr>
          <w:ilvl w:val="0"/>
          <w:numId w:val="3"/>
        </w:numPr>
        <w:ind w:left="720" w:hanging="360"/>
        <w:jc w:val="both"/>
        <w:rPr>
          <w:i/>
          <w:i/>
        </w:rPr>
      </w:pPr>
      <w:r>
        <w:rPr>
          <w:i/>
        </w:rPr>
        <w:t>Os valores unitários não poderão ter mais do que duas casas decimais. Não serão aceitas dízimas.</w:t>
      </w:r>
    </w:p>
    <w:p>
      <w:pPr>
        <w:pStyle w:val="Normal"/>
        <w:widowControl/>
        <w:numPr>
          <w:ilvl w:val="0"/>
          <w:numId w:val="3"/>
        </w:numPr>
        <w:ind w:left="720" w:hanging="360"/>
        <w:jc w:val="both"/>
        <w:rPr>
          <w:i/>
          <w:i/>
        </w:rPr>
      </w:pPr>
      <w:r>
        <w:rPr>
          <w:i/>
        </w:rPr>
        <w:t>O envio de proposta implica anuência aos termos e condições constantes do Termo de Referência em anexo</w:t>
      </w:r>
      <w:r>
        <w:rPr>
          <w:i/>
          <w:color w:val="4A86E8"/>
        </w:rPr>
        <w:t>.</w:t>
      </w:r>
    </w:p>
    <w:p>
      <w:pPr>
        <w:pStyle w:val="Normal"/>
        <w:widowControl/>
        <w:jc w:val="both"/>
        <w:rPr>
          <w:i/>
          <w:i/>
          <w:color w:val="4A86E8"/>
        </w:rPr>
      </w:pPr>
      <w:r>
        <w:rPr>
          <w:i/>
          <w:color w:val="4A86E8"/>
        </w:rPr>
      </w:r>
    </w:p>
    <w:p>
      <w:pPr>
        <w:pStyle w:val="Normal"/>
        <w:widowControl/>
        <w:jc w:val="both"/>
        <w:rPr>
          <w:i/>
          <w:i/>
          <w:color w:val="4A86E8"/>
        </w:rPr>
      </w:pPr>
      <w:r>
        <w:rPr>
          <w:i/>
          <w:color w:val="4A86E8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4"/>
        <w:tblW w:w="10133" w:type="dxa"/>
        <w:jc w:val="left"/>
        <w:tblInd w:w="-14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0133"/>
      </w:tblGrid>
      <w:tr>
        <w:trPr/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Validade da Proposta: 30 dias corridos.  </w:t>
            </w:r>
          </w:p>
        </w:tc>
      </w:tr>
      <w:tr>
        <w:trPr/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Prazo para a Execução dos Serviços: 30 dias corridos.</w:t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Informações complementares poderão ser obtidas junto à Coordenadoria de Projetos e Obras - CPO, com o Engenheiro Adalberto Knoth. Fone (48) 3216-4388. E-mail: cpo@trt12.jus.br.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>
      <w:pPr>
        <w:pStyle w:val="Normal"/>
        <w:spacing w:lineRule="auto" w:line="240" w:before="0" w:after="120"/>
        <w:jc w:val="both"/>
        <w:rPr/>
      </w:pPr>
      <w:r>
        <w:rPr>
          <w:sz w:val="24"/>
          <w:szCs w:val="24"/>
        </w:rPr>
        <w:t xml:space="preserve">O Orçamento preenchido deve ser devolvido para o e-mail </w:t>
      </w:r>
      <w:hyperlink r:id="rId2">
        <w:r>
          <w:rPr>
            <w:rStyle w:val="LinkdaInternet"/>
            <w:color w:val="1155CC"/>
            <w:sz w:val="24"/>
            <w:szCs w:val="24"/>
            <w:u w:val="single"/>
          </w:rPr>
          <w:t>cpo@trt12.jus.br</w:t>
        </w:r>
      </w:hyperlink>
    </w:p>
    <w:p>
      <w:pPr>
        <w:pStyle w:val="Normal"/>
        <w:spacing w:lineRule="auto" w:line="240" w:before="0" w:after="120"/>
        <w:jc w:val="both"/>
        <w:rPr/>
      </w:pPr>
      <w:r>
        <w:rPr>
          <w:sz w:val="24"/>
          <w:szCs w:val="24"/>
        </w:rPr>
        <w:t xml:space="preserve">A proposta deve ser encaminhada em até </w:t>
      </w:r>
      <w:r>
        <w:rPr>
          <w:sz w:val="24"/>
          <w:szCs w:val="24"/>
          <w:u w:val="single"/>
        </w:rPr>
        <w:t>5 dias após o envio do e-mail pela CPO para solicitação de orçamento.</w:t>
      </w:r>
      <w:r>
        <w:rPr>
          <w:sz w:val="24"/>
          <w:szCs w:val="24"/>
        </w:rPr>
        <w:t>.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/>
          <w:sz w:val="24"/>
          <w:szCs w:val="24"/>
        </w:rPr>
        <w:t>DADOS DO RESPONSÁVEL PELA ELABORAÇÃO DO ORÇAMENTO</w:t>
      </w:r>
    </w:p>
    <w:tbl>
      <w:tblPr>
        <w:tblStyle w:val="Table5"/>
        <w:tblW w:w="9855" w:type="dxa"/>
        <w:jc w:val="left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855"/>
      </w:tblGrid>
      <w:tr>
        <w:trPr/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>
        <w:trPr/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Table6"/>
        <w:tblW w:w="9765" w:type="dxa"/>
        <w:jc w:val="left"/>
        <w:tblInd w:w="-10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97" w:type="dxa"/>
          <w:bottom w:w="0" w:type="dxa"/>
          <w:right w:w="108" w:type="dxa"/>
        </w:tblCellMar>
        <w:tblLook w:val="0000"/>
      </w:tblPr>
      <w:tblGrid>
        <w:gridCol w:w="4903"/>
        <w:gridCol w:w="4861"/>
      </w:tblGrid>
      <w:tr>
        <w:trPr/>
        <w:tc>
          <w:tcPr>
            <w:tcW w:w="4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>
      <w:pPr>
        <w:pStyle w:val="Normal"/>
        <w:spacing w:lineRule="auto" w:line="240" w:before="0" w:after="120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  <w:t>1- Divulgação da nota de empenho:</w:t>
      </w:r>
    </w:p>
    <w:tbl>
      <w:tblPr>
        <w:tblStyle w:val="Table7"/>
        <w:tblW w:w="9720" w:type="dxa"/>
        <w:jc w:val="left"/>
        <w:tblInd w:w="-10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97" w:type="dxa"/>
          <w:bottom w:w="0" w:type="dxa"/>
          <w:right w:w="108" w:type="dxa"/>
        </w:tblCellMar>
        <w:tblLook w:val="000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3">
              <w:r>
                <w:rPr>
                  <w:rStyle w:val="LinkdaInternet"/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  <w:t>2 - Penalidades:</w:t>
      </w:r>
    </w:p>
    <w:tbl>
      <w:tblPr>
        <w:tblStyle w:val="Table8"/>
        <w:tblW w:w="9720" w:type="dxa"/>
        <w:jc w:val="left"/>
        <w:tblInd w:w="-10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97" w:type="dxa"/>
          <w:bottom w:w="0" w:type="dxa"/>
          <w:right w:w="108" w:type="dxa"/>
        </w:tblCellMar>
        <w:tblLook w:val="000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widowControl/>
              <w:ind w:left="0" w:hanging="0"/>
              <w:jc w:val="both"/>
              <w:rPr>
                <w:i/>
                <w:i/>
              </w:rPr>
            </w:pPr>
            <w:r>
              <w:rPr>
                <w:i/>
              </w:rPr>
              <w:t>As penalidades pela inexecução total ou parcial do objeto, sem prejuízo das demais  penalidades previstas na Lei nº 14.133/2021 são as seguintes:</w:t>
            </w:r>
          </w:p>
          <w:p>
            <w:pPr>
              <w:pStyle w:val="Normal"/>
              <w:widowControl/>
              <w:ind w:left="0" w:hanging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ind w:left="283" w:hanging="283"/>
              <w:jc w:val="both"/>
              <w:rPr>
                <w:sz w:val="24"/>
                <w:szCs w:val="24"/>
              </w:rPr>
            </w:pPr>
            <w:r>
              <w:rPr>
                <w:i/>
              </w:rPr>
              <w:t>Multa de mora de 0,3% por dia sobre o valor do item em atraso, limitada a 10% do valor do item, sem prejuízo das demais sanções. Em caso de atraso superior a 30 dias, poderá a Administração, a seu critério, declarar a inexecução contratual.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ind w:left="283" w:hanging="283"/>
              <w:jc w:val="both"/>
              <w:rPr>
                <w:sz w:val="24"/>
                <w:szCs w:val="24"/>
              </w:rPr>
            </w:pPr>
            <w:r>
              <w:rPr>
                <w:i/>
              </w:rPr>
              <w:t>Multa por inexecução parcial de 5% sobre valor total do contrato.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ind w:left="283" w:hanging="283"/>
              <w:jc w:val="both"/>
              <w:rPr>
                <w:sz w:val="24"/>
                <w:szCs w:val="24"/>
              </w:rPr>
            </w:pPr>
            <w:r>
              <w:rPr>
                <w:i/>
              </w:rPr>
              <w:t>Multa por inexecução total de 15% sobre o valor total do contrato, que resulte na inexecução do contrato com prejuízo para a Administração.</w:t>
            </w:r>
          </w:p>
          <w:p>
            <w:pPr>
              <w:pStyle w:val="Normal"/>
              <w:spacing w:lineRule="auto" w:line="240"/>
              <w:ind w:left="0" w:hanging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ind w:left="0" w:hanging="0"/>
              <w:jc w:val="both"/>
              <w:rPr>
                <w:i/>
                <w:i/>
              </w:rPr>
            </w:pPr>
            <w:r>
              <w:rPr>
                <w:i/>
              </w:rPr>
              <w:t>A regularidade fiscal e trabalhista deverá ser mantida durante a vigência da contratação, sob pena de aplicação de multa de 1% do valor da nota fiscal, cujo valor será retido dos créditos da empresa, sem prejuízo da aplicação das demais penalidades previstas em lei.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  <w:t>3 - Condições de Pagamento:</w:t>
      </w:r>
    </w:p>
    <w:tbl>
      <w:tblPr>
        <w:tblStyle w:val="Table9"/>
        <w:tblW w:w="9690" w:type="dxa"/>
        <w:jc w:val="left"/>
        <w:tblInd w:w="-10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97" w:type="dxa"/>
          <w:bottom w:w="0" w:type="dxa"/>
          <w:right w:w="108" w:type="dxa"/>
        </w:tblCellMar>
        <w:tblLook w:val="0000"/>
      </w:tblPr>
      <w:tblGrid>
        <w:gridCol w:w="9690"/>
      </w:tblGrid>
      <w:tr>
        <w:trPr/>
        <w:tc>
          <w:tcPr>
            <w:tcW w:w="9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>prazo para pagamento é de até 5 dias úteis após o recebimento definitivo.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      </w:r>
          </w:p>
          <w:p>
            <w:pPr>
              <w:pStyle w:val="Normal"/>
              <w:widowControl/>
              <w:spacing w:lineRule="auto" w:line="360"/>
              <w:ind w:left="0" w:hanging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  <w:t>4 - Documentação exigível:</w:t>
      </w:r>
    </w:p>
    <w:tbl>
      <w:tblPr>
        <w:tblStyle w:val="Table10"/>
        <w:tblW w:w="9840" w:type="dxa"/>
        <w:jc w:val="left"/>
        <w:tblInd w:w="-1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840"/>
      </w:tblGrid>
      <w:tr>
        <w:trPr/>
        <w:tc>
          <w:tcPr>
            <w:tcW w:w="9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A empresa deve estar em situação de regularidade fiscal e trabalhista durante todo o prazo de execução do objeto: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Certidão Negativa do FGTS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http://www.tst.jus.br/certidao</w:t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i/>
                <w:i/>
              </w:rPr>
            </w:pPr>
            <w:r>
              <w:rPr>
                <w:i/>
              </w:rPr>
              <w:t>Portal da Transparência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>
                  <w:rStyle w:val="LinkdaInternet"/>
                  <w:i/>
                  <w:color w:val="1155CC"/>
                  <w:u w:val="single"/>
                </w:rPr>
                <w:t>http://www.transparencia.gov.br/sancoes/ceis?ordenarPor=nome&amp;direcao=asc</w:t>
              </w:r>
            </w:hyperlink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Requisitos técnicos para proposta:</w:t>
            </w:r>
          </w:p>
          <w:p>
            <w:pPr>
              <w:pStyle w:val="Normal"/>
              <w:spacing w:lineRule="auto" w:line="240"/>
              <w:jc w:val="both"/>
              <w:rPr>
                <w:b/>
                <w:b/>
                <w:i/>
                <w:i/>
                <w:color w:val="222222"/>
                <w:shd w:fill="FFFFFF" w:val="clear"/>
              </w:rPr>
            </w:pPr>
            <w:r>
              <w:rPr>
                <w:b/>
                <w:i/>
                <w:color w:val="222222"/>
                <w:shd w:fill="FFFFFF" w:val="clear"/>
              </w:rPr>
            </w:r>
          </w:p>
          <w:p>
            <w:pPr>
              <w:pStyle w:val="Normal"/>
              <w:shd w:val="clear" w:fill="FFFFFF"/>
              <w:spacing w:lineRule="auto" w:line="240"/>
              <w:jc w:val="both"/>
              <w:rPr>
                <w:i/>
                <w:i/>
                <w:color w:val="222222"/>
                <w:shd w:fill="FFFFFF" w:val="clear"/>
              </w:rPr>
            </w:pPr>
            <w:r>
              <w:rPr>
                <w:i/>
                <w:color w:val="222222"/>
                <w:shd w:fill="FFFFFF" w:val="clear"/>
              </w:rPr>
              <w:t xml:space="preserve">- A planilha orçamentária deverá ser </w:t>
            </w:r>
            <w:r>
              <w:rPr>
                <w:b/>
                <w:i/>
                <w:color w:val="222222"/>
                <w:shd w:fill="FFFFFF" w:val="clear"/>
              </w:rPr>
              <w:t>assinada pelo responsável técnico</w:t>
            </w:r>
            <w:r>
              <w:rPr>
                <w:i/>
                <w:color w:val="222222"/>
                <w:shd w:fill="FFFFFF" w:val="clear"/>
              </w:rPr>
              <w:t xml:space="preserve"> da empresa (profissional devidamente registrado no CREA ou CAU). Sendo que a comprovação de vínculo entre a empresa e o profissional responsável pela CAT, após emissão da nota de empenho e até a data da assinatura da Carta Contrato, será por meio de uma das seguintes formas:</w:t>
            </w:r>
          </w:p>
          <w:p>
            <w:pPr>
              <w:pStyle w:val="Normal"/>
              <w:shd w:val="clear" w:fill="FFFFFF"/>
              <w:spacing w:lineRule="auto" w:line="240"/>
              <w:jc w:val="both"/>
              <w:rPr>
                <w:i/>
                <w:i/>
                <w:color w:val="222222"/>
                <w:shd w:fill="FFFFFF" w:val="clear"/>
              </w:rPr>
            </w:pPr>
            <w:r>
              <w:rPr>
                <w:i/>
                <w:color w:val="222222"/>
                <w:shd w:fill="FFFFFF" w:val="clear"/>
              </w:rPr>
              <w:t xml:space="preserve">I. Se empregado, apresentar cópia da Carteira de Trabalho e Previdência Social – CTPS – ou da Ficha de Registro de Empregado; </w:t>
            </w:r>
          </w:p>
          <w:p>
            <w:pPr>
              <w:pStyle w:val="Normal"/>
              <w:shd w:val="clear" w:fill="FFFFFF"/>
              <w:spacing w:lineRule="auto" w:line="240"/>
              <w:jc w:val="both"/>
              <w:rPr>
                <w:i/>
                <w:i/>
                <w:color w:val="222222"/>
                <w:shd w:fill="FFFFFF" w:val="clear"/>
              </w:rPr>
            </w:pPr>
            <w:r>
              <w:rPr>
                <w:i/>
                <w:color w:val="222222"/>
                <w:shd w:fill="FFFFFF" w:val="clear"/>
              </w:rPr>
              <w:t xml:space="preserve">II. Se sócio ou proprietário, apresentar Contrato Social ou última alteração; </w:t>
            </w:r>
          </w:p>
          <w:p>
            <w:pPr>
              <w:pStyle w:val="Normal"/>
              <w:shd w:val="clear" w:fill="FFFFFF"/>
              <w:spacing w:lineRule="auto" w:line="240"/>
              <w:jc w:val="both"/>
              <w:rPr>
                <w:i/>
                <w:i/>
                <w:color w:val="222222"/>
                <w:shd w:fill="FFFFFF" w:val="clear"/>
              </w:rPr>
            </w:pPr>
            <w:r>
              <w:rPr>
                <w:i/>
                <w:color w:val="222222"/>
                <w:shd w:fill="FFFFFF" w:val="clear"/>
              </w:rPr>
              <w:t>III. Se contratado, apresentar a documentação comprobatória correspondente.</w:t>
            </w:r>
          </w:p>
          <w:p>
            <w:pPr>
              <w:pStyle w:val="Normal"/>
              <w:shd w:val="clear" w:fill="FFFFFF"/>
              <w:spacing w:lineRule="auto" w:line="240"/>
              <w:jc w:val="both"/>
              <w:rPr>
                <w:i/>
                <w:i/>
                <w:color w:val="222222"/>
                <w:shd w:fill="FFFFFF" w:val="clear"/>
              </w:rPr>
            </w:pPr>
            <w:r>
              <w:rPr>
                <w:i/>
                <w:color w:val="222222"/>
                <w:shd w:fill="FFFFFF" w:val="clear"/>
              </w:rPr>
              <w:t>As certidões e/ou certificados obtidos via internet, inclusive as de registro de pessoa física e jurídica no CREA e CAU, poderão ser apresentados em originais ou fotocópias simples e somente serão aceitas se houver possibilidade de verificação da autenticidade no site correspondente.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color w:val="222222"/>
                <w:shd w:fill="FFFFFF" w:val="clear"/>
              </w:rPr>
            </w:pPr>
            <w:r>
              <w:rPr>
                <w:i/>
                <w:color w:val="222222"/>
                <w:shd w:fill="FFFFFF" w:val="clear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  <w:t>5 - Fornecedor Pessoa Física</w:t>
      </w:r>
    </w:p>
    <w:tbl>
      <w:tblPr>
        <w:tblStyle w:val="Table11"/>
        <w:tblW w:w="9750" w:type="dxa"/>
        <w:jc w:val="left"/>
        <w:tblInd w:w="-10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97" w:type="dxa"/>
          <w:bottom w:w="0" w:type="dxa"/>
          <w:right w:w="108" w:type="dxa"/>
        </w:tblCellMar>
        <w:tblLook w:val="0000"/>
      </w:tblPr>
      <w:tblGrid>
        <w:gridCol w:w="9750"/>
      </w:tblGrid>
      <w:tr>
        <w:trPr/>
        <w:tc>
          <w:tcPr>
            <w:tcW w:w="9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7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i/>
              </w:rPr>
              <w:t xml:space="preserve"> </w:t>
            </w:r>
            <w:hyperlink r:id="rId5">
              <w:r>
                <w:rPr>
                  <w:rStyle w:val="LinkdaInternet"/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  <w:t>6 – LGPD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/>
        <w:jc w:val="both"/>
        <w:rPr/>
      </w:pPr>
      <w:r>
        <w:rPr>
          <w:i/>
          <w:shd w:fill="FFFFFF" w:val="clear"/>
        </w:rPr>
        <w:t>O tratamento dos dados coletados no presente orçamento está em integral conformidade com a Lei nº 13.709/2019 (Lei Geral de Proteção de Dados -LGPD).</w:t>
      </w:r>
    </w:p>
    <w:p>
      <w:pPr>
        <w:pStyle w:val="Normal"/>
        <w:spacing w:lineRule="auto" w:line="240" w:before="0" w:after="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Table12"/>
        <w:tblW w:w="9638" w:type="dxa"/>
        <w:jc w:val="left"/>
        <w:tblInd w:w="-2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/>
      </w:tblPr>
      <w:tblGrid>
        <w:gridCol w:w="9638"/>
      </w:tblGrid>
      <w:tr>
        <w:trPr/>
        <w:tc>
          <w:tcPr>
            <w:tcW w:w="9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  <w:t>c) eventuais dúvidas poderão ser dirimidas junto à Secretaria de Orçamento e Finanças por meio do email seof@trt12.jus.br ou telefone (48) 3216-4059;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i/>
              </w:rPr>
              <w:t xml:space="preserve">d) as notas fiscais deverão ser juntadas pela Contratada no sistema SIGEO-JT - Execução Financeira e os documentos exigidos no Termo de Referência deverão ser encaminhados ao Núcleo de Análise e Liquidação da Despesa – NULAD pelo e-mail </w:t>
            </w:r>
            <w:hyperlink r:id="rId6">
              <w:r>
                <w:rPr>
                  <w:rStyle w:val="LinkdaInternet"/>
                  <w:i/>
                  <w:color w:val="1155CC"/>
                  <w:u w:val="single"/>
                </w:rPr>
                <w:t>nulad@trt.jus.br</w:t>
              </w:r>
            </w:hyperlink>
            <w:r>
              <w:rPr>
                <w:i/>
              </w:rPr>
              <w:t>;</w:t>
            </w:r>
          </w:p>
          <w:p>
            <w:pPr>
              <w:pStyle w:val="Normal"/>
              <w:widowControl/>
              <w:spacing w:lineRule="auto" w:line="276"/>
              <w:ind w:left="0" w:hanging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/>
              <w:spacing w:lineRule="auto" w:line="276"/>
              <w:ind w:left="0" w:hanging="0"/>
              <w:jc w:val="both"/>
              <w:rPr>
                <w:i/>
                <w:i/>
              </w:rPr>
            </w:pPr>
            <w:r>
              <w:rPr>
                <w:i/>
              </w:rPr>
              <w:t>e) havendo erro na(s) nota(s) fiscal(s)/fatura(s) ou qualquer circunstância que impeça a liquidação da despesa, ela será restituída ou será comunicada a irregularidade ao fornecedor, interrompendo-se o prazo para pagamento até que este providencie as medidas saneadoras.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Acesso ao SIGEO-JT e orientações:</w:t>
            </w:r>
          </w:p>
          <w:p>
            <w:pPr>
              <w:pStyle w:val="Normal"/>
              <w:spacing w:lineRule="auto" w:line="240"/>
              <w:jc w:val="both"/>
              <w:rPr/>
            </w:pPr>
            <w:hyperlink r:id="rId7">
              <w:r>
                <w:rPr>
                  <w:rStyle w:val="LinkdaInternet"/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>
            <w:pPr>
              <w:pStyle w:val="Normal"/>
              <w:spacing w:lineRule="auto" w:line="240"/>
              <w:jc w:val="both"/>
              <w:rPr/>
            </w:pPr>
            <w:hyperlink r:id="rId8">
              <w:r>
                <w:rPr>
                  <w:rStyle w:val="LinkdaInternet"/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9"/>
      <w:type w:val="nextPage"/>
      <w:pgSz w:w="11906" w:h="16838"/>
      <w:pgMar w:left="1134" w:right="1134" w:header="0" w:top="1134" w:footer="1134" w:bottom="164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Noto Sans Symbol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jc w:val="both"/>
      <w:rPr/>
    </w:pPr>
    <w:r>
      <w:rPr/>
      <w:t>Versão 2.5</w:t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sz w:val="24"/>
        <w:u w:val="none"/>
        <w:b/>
        <w:rFonts w:cs="Open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sz w:val="24"/>
        <w:u w:val="none"/>
        <w:b/>
        <w:rFonts w:cs="OpenSymbol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sz w:val="24"/>
        <w:u w:val="none"/>
        <w:b/>
        <w:rFonts w:cs="OpenSymbol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sz w:val="24"/>
        <w:u w:val="none"/>
        <w:b/>
        <w:rFonts w:cs="OpenSymbol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sz w:val="24"/>
        <w:u w:val="none"/>
        <w:b/>
        <w:rFonts w:cs="OpenSymbol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sz w:val="24"/>
        <w:u w:val="none"/>
        <w:b/>
        <w:rFonts w:cs="OpenSymbol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sz w:val="24"/>
        <w:u w:val="none"/>
        <w:b/>
        <w:rFonts w:cs="OpenSymbol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sz w:val="24"/>
        <w:u w:val="none"/>
        <w:b/>
        <w:rFonts w:cs="OpenSymbol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OpenSymbol" w:hAnsi="OpenSymbol" w:cs="OpenSymbol" w:hint="default"/>
        <w:sz w:val="24"/>
        <w:u w:val="none"/>
        <w:b/>
        <w:rFonts w:cs="OpenSymbol"/>
      </w:rPr>
    </w:lvl>
  </w:abstractNum>
  <w:abstractNum w:abstractNumId="2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  <w:b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4"/>
        <w:u w:val="none"/>
        <w:b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z w:val="24"/>
        <w:u w:val="none"/>
        <w:b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z w:val="24"/>
        <w:u w:val="none"/>
        <w:b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z w:val="24"/>
        <w:u w:val="none"/>
        <w:b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z w:val="24"/>
        <w:u w:val="none"/>
        <w:b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z w:val="24"/>
        <w:u w:val="none"/>
        <w:b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z w:val="24"/>
        <w:u w:val="none"/>
        <w:b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z w:val="24"/>
        <w:u w:val="none"/>
        <w:b/>
        <w:rFonts w:cs="OpenSymbol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u w:val="none"/>
        <w:rFonts w:cs="Noto Sans Symbols"/>
        <w:color w:val="000000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u w:val="none"/>
        <w:rFonts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u w:val="none"/>
        <w:rFonts w:cs="Noto Sans Symbol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224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pt-BR" w:eastAsia="zh-CN" w:bidi="hi-IN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pt-BR" w:eastAsia="zh-CN" w:bidi="hi-IN"/>
    </w:rPr>
  </w:style>
  <w:style w:type="paragraph" w:styleId="Ttulo1">
    <w:name w:val="Título 1"/>
    <w:next w:val="Normal"/>
    <w:pPr>
      <w:keepNext/>
      <w:keepLines/>
      <w:pageBreakBefore w:val="false"/>
      <w:widowControl w:val="false"/>
      <w:suppressAutoHyphens w:val="true"/>
      <w:spacing w:lineRule="auto" w:line="240" w:before="480" w:after="120"/>
    </w:pPr>
    <w:rPr>
      <w:rFonts w:ascii="Arial" w:hAnsi="Arial" w:eastAsia="Arial" w:cs="Arial"/>
      <w:b/>
      <w:color w:val="auto"/>
      <w:sz w:val="48"/>
      <w:szCs w:val="48"/>
      <w:lang w:val="pt-BR" w:eastAsia="zh-CN" w:bidi="hi-IN"/>
    </w:rPr>
  </w:style>
  <w:style w:type="paragraph" w:styleId="Ttulo2">
    <w:name w:val="Título 2"/>
    <w:next w:val="Normal"/>
    <w:pPr>
      <w:keepNext/>
      <w:keepLines/>
      <w:pageBreakBefore w:val="false"/>
      <w:widowControl w:val="false"/>
      <w:suppressAutoHyphens w:val="true"/>
      <w:spacing w:lineRule="auto" w:line="240" w:before="360" w:after="80"/>
    </w:pPr>
    <w:rPr>
      <w:rFonts w:ascii="Arial" w:hAnsi="Arial" w:eastAsia="Arial" w:cs="Arial"/>
      <w:b/>
      <w:color w:val="auto"/>
      <w:sz w:val="36"/>
      <w:szCs w:val="36"/>
      <w:lang w:val="pt-BR" w:eastAsia="zh-CN" w:bidi="hi-IN"/>
    </w:rPr>
  </w:style>
  <w:style w:type="paragraph" w:styleId="Ttulo3">
    <w:name w:val="Título 3"/>
    <w:next w:val="Normal"/>
    <w:pPr>
      <w:keepNext/>
      <w:keepLines/>
      <w:pageBreakBefore w:val="false"/>
      <w:widowControl w:val="false"/>
      <w:suppressAutoHyphens w:val="true"/>
      <w:spacing w:lineRule="auto" w:line="240" w:before="280" w:after="80"/>
    </w:pPr>
    <w:rPr>
      <w:rFonts w:ascii="Arial" w:hAnsi="Arial" w:eastAsia="Arial" w:cs="Arial"/>
      <w:b/>
      <w:color w:val="auto"/>
      <w:sz w:val="28"/>
      <w:szCs w:val="28"/>
      <w:lang w:val="pt-BR" w:eastAsia="zh-CN" w:bidi="hi-IN"/>
    </w:rPr>
  </w:style>
  <w:style w:type="paragraph" w:styleId="Ttulo4">
    <w:name w:val="Título 4"/>
    <w:next w:val="Normal"/>
    <w:pPr>
      <w:keepNext/>
      <w:keepLines/>
      <w:pageBreakBefore w:val="false"/>
      <w:widowControl w:val="false"/>
      <w:suppressAutoHyphens w:val="true"/>
      <w:spacing w:lineRule="auto" w:line="240" w:before="240" w:after="40"/>
    </w:pPr>
    <w:rPr>
      <w:rFonts w:ascii="Arial" w:hAnsi="Arial" w:eastAsia="Arial" w:cs="Arial"/>
      <w:b/>
      <w:color w:val="auto"/>
      <w:sz w:val="24"/>
      <w:szCs w:val="24"/>
      <w:lang w:val="pt-BR" w:eastAsia="zh-CN" w:bidi="hi-IN"/>
    </w:rPr>
  </w:style>
  <w:style w:type="paragraph" w:styleId="Ttulo5">
    <w:name w:val="Título 5"/>
    <w:next w:val="Normal"/>
    <w:pPr>
      <w:keepNext/>
      <w:keepLines/>
      <w:pageBreakBefore w:val="false"/>
      <w:widowControl w:val="false"/>
      <w:suppressAutoHyphens w:val="true"/>
      <w:spacing w:lineRule="auto" w:line="240" w:before="220" w:after="40"/>
    </w:pPr>
    <w:rPr>
      <w:rFonts w:ascii="Arial" w:hAnsi="Arial" w:eastAsia="Arial" w:cs="Arial"/>
      <w:b/>
      <w:color w:val="auto"/>
      <w:sz w:val="22"/>
      <w:szCs w:val="22"/>
      <w:lang w:val="pt-BR" w:eastAsia="zh-CN" w:bidi="hi-IN"/>
    </w:rPr>
  </w:style>
  <w:style w:type="paragraph" w:styleId="Ttulo6">
    <w:name w:val="Título 6"/>
    <w:next w:val="Normal"/>
    <w:pPr>
      <w:keepNext/>
      <w:keepLines/>
      <w:pageBreakBefore w:val="false"/>
      <w:widowControl w:val="false"/>
      <w:suppressAutoHyphens w:val="true"/>
      <w:spacing w:lineRule="auto" w:line="240" w:before="200" w:after="40"/>
    </w:pPr>
    <w:rPr>
      <w:rFonts w:ascii="Arial" w:hAnsi="Arial" w:eastAsia="Arial" w:cs="Arial"/>
      <w:b/>
      <w:color w:val="auto"/>
      <w:sz w:val="20"/>
      <w:szCs w:val="20"/>
      <w:lang w:val="pt-BR" w:eastAsia="zh-CN" w:bidi="hi-IN"/>
    </w:rPr>
  </w:style>
  <w:style w:type="character" w:styleId="ListLabel1">
    <w:name w:val="ListLabel 1"/>
    <w:qFormat/>
    <w:rPr>
      <w:b/>
      <w:sz w:val="24"/>
      <w:u w:val="none"/>
    </w:rPr>
  </w:style>
  <w:style w:type="character" w:styleId="ListLabel2">
    <w:name w:val="ListLabel 2"/>
    <w:qFormat/>
    <w:rPr>
      <w:rFonts w:eastAsia="Noto Sans Symbols" w:cs="Noto Sans Symbols"/>
      <w:color w:val="000000"/>
      <w:u w:val="none"/>
    </w:rPr>
  </w:style>
  <w:style w:type="character" w:styleId="ListLabel3">
    <w:name w:val="ListLabel 3"/>
    <w:qFormat/>
    <w:rPr>
      <w:rFonts w:eastAsia="Noto Sans Symbols" w:cs="Noto Sans Symbols"/>
      <w:u w:val="non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4">
    <w:name w:val="ListLabel 4"/>
    <w:qFormat/>
    <w:rPr>
      <w:rFonts w:cs="OpenSymbol"/>
      <w:b/>
      <w:sz w:val="24"/>
      <w:u w:val="none"/>
    </w:rPr>
  </w:style>
  <w:style w:type="character" w:styleId="ListLabel5">
    <w:name w:val="ListLabel 5"/>
    <w:qFormat/>
    <w:rPr>
      <w:rFonts w:cs="Wingdings"/>
      <w:b/>
      <w:sz w:val="24"/>
      <w:u w:val="none"/>
    </w:rPr>
  </w:style>
  <w:style w:type="character" w:styleId="ListLabel6">
    <w:name w:val="ListLabel 6"/>
    <w:qFormat/>
    <w:rPr>
      <w:rFonts w:cs="Wingdings 2"/>
      <w:b/>
      <w:sz w:val="24"/>
      <w:u w:val="none"/>
    </w:rPr>
  </w:style>
  <w:style w:type="character" w:styleId="ListLabel7">
    <w:name w:val="ListLabel 7"/>
    <w:qFormat/>
    <w:rPr>
      <w:rFonts w:cs="Noto Sans Symbols"/>
      <w:color w:val="000000"/>
      <w:u w:val="none"/>
    </w:rPr>
  </w:style>
  <w:style w:type="character" w:styleId="ListLabel8">
    <w:name w:val="ListLabel 8"/>
    <w:qFormat/>
    <w:rPr>
      <w:rFonts w:cs="Noto Sans Symbols"/>
      <w:u w:val="none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00000A"/>
      <w:sz w:val="22"/>
      <w:szCs w:val="22"/>
      <w:lang w:val="pt-BR" w:eastAsia="zh-CN" w:bidi="hi-IN"/>
    </w:rPr>
  </w:style>
  <w:style w:type="paragraph" w:styleId="Ttulododocumento">
    <w:name w:val="Título do documento"/>
    <w:basedOn w:val="LOnormal"/>
    <w:next w:val="Normal"/>
    <w:pPr>
      <w:keepNext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tulo">
    <w:name w:val="Subtítulo"/>
    <w:basedOn w:val="LOnormal"/>
    <w:next w:val="Normal"/>
    <w:pPr>
      <w:keepNext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Rodap">
    <w:name w:val="Rodapé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Citaes">
    <w:name w:val="Citações"/>
    <w:basedOn w:val="Normal"/>
    <w:qFormat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po@trt12.jus.br" TargetMode="External"/><Relationship Id="rId3" Type="http://schemas.openxmlformats.org/officeDocument/2006/relationships/hyperlink" Target="https://portal.trt12.jus.br/" TargetMode="External"/><Relationship Id="rId4" Type="http://schemas.openxmlformats.org/officeDocument/2006/relationships/hyperlink" Target="http://www.transparencia.gov.br/sancoes/ceis?ordenarPor=nome&amp;direcao=asc" TargetMode="External"/><Relationship Id="rId5" Type="http://schemas.openxmlformats.org/officeDocument/2006/relationships/hyperlink" Target="http://www.trt12.jus.br/portal/areas/secod/extranet/documentos/Cad_PF_e-social.doc" TargetMode="External"/><Relationship Id="rId6" Type="http://schemas.openxmlformats.org/officeDocument/2006/relationships/hyperlink" Target="mailto:nulad@trt.jus.br" TargetMode="External"/><Relationship Id="rId7" Type="http://schemas.openxmlformats.org/officeDocument/2006/relationships/hyperlink" Target="https://portal.trt12.jus.br/licitacoes-e-contratos/informacoes" TargetMode="External"/><Relationship Id="rId8" Type="http://schemas.openxmlformats.org/officeDocument/2006/relationships/hyperlink" Target="https://sigeo.jt.jus.br/ajuda/kb/primeiro-acesso/" TargetMode="Externa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2ev0Pt6vfXwXMtfiJCde8jg8c9g==">CgMxLjAyDWguempvNW5ncDc2MHU4AGoiChRzdWdnZXN0Ljh6azdoczNqcXR0YRIKTHVyaW4gRGlhc2ohChNzdWdnZXN0LnZyaGc4dDcwcTR4EgpMdXJpbiBEaWFzciExcVlaM0VIU1VaUTM4MzBlaGt3eW50SWVPVlVuOWEwY3c=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LibreOffice/4.4.5.2$Windows_x86 LibreOffice_project/a22f674fd25a3b6f45bdebf25400ed2adff0ff99</Application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pt-BR</dc:language>
  <dcterms:modified xsi:type="dcterms:W3CDTF">2023-10-26T09:49:28Z</dcterms:modified>
  <cp:revision>1</cp:revision>
</cp:coreProperties>
</file>