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b/>
          <w:sz w:val="32"/>
          <w:szCs w:val="32"/>
        </w:rPr>
        <w:t>Tribunal Regional do Trabalho da 12ª Região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b/>
          <w:b/>
          <w:color w:val="6AA84F"/>
          <w:sz w:val="32"/>
          <w:szCs w:val="32"/>
          <w:u w:val="single"/>
        </w:rPr>
      </w:pPr>
      <w:r>
        <w:rPr>
          <w:b/>
          <w:color w:val="6AA84F"/>
          <w:sz w:val="32"/>
          <w:szCs w:val="32"/>
          <w:u w:val="single"/>
        </w:rPr>
        <w:t>ORÇAMENTO - SERVIÇO</w:t>
      </w:r>
    </w:p>
    <w:p>
      <w:pPr>
        <w:pStyle w:val="Normal"/>
        <w:spacing w:lineRule="auto" w:line="240"/>
        <w:jc w:val="center"/>
        <w:rPr/>
      </w:pPr>
      <w:r>
        <w:rPr>
          <w:i/>
          <w:color w:val="6AA84F"/>
          <w:sz w:val="20"/>
          <w:szCs w:val="20"/>
          <w:u w:val="single"/>
        </w:rPr>
        <w:t>(Esse modelo pode ser modificado pela área de modo a melhor se ajustar ao caso concreto)</w:t>
      </w:r>
      <w:r>
        <w:rPr>
          <w:i/>
          <w:color w:val="6AA84F"/>
          <w:sz w:val="20"/>
          <w:szCs w:val="20"/>
        </w:rPr>
        <w:t>.</w:t>
      </w:r>
    </w:p>
    <w:p>
      <w:pPr>
        <w:pStyle w:val="Normal"/>
        <w:spacing w:lineRule="auto" w:line="240"/>
        <w:jc w:val="center"/>
        <w:rPr/>
      </w:pPr>
      <w:r>
        <w:rPr>
          <w:i/>
          <w:color w:val="4A86E8"/>
          <w:sz w:val="20"/>
          <w:szCs w:val="20"/>
          <w:u w:val="single"/>
        </w:rPr>
        <w:t>(O texto em azul são instruções para a elaboração do Orçamento e deve ser suprimido)</w:t>
      </w:r>
      <w:r>
        <w:rPr>
          <w:i/>
          <w:color w:val="6AA84F"/>
          <w:sz w:val="20"/>
          <w:szCs w:val="20"/>
        </w:rPr>
        <w:t>.</w:t>
      </w:r>
    </w:p>
    <w:p>
      <w:pPr>
        <w:pStyle w:val="Normal"/>
        <w:spacing w:lineRule="auto" w:line="240"/>
        <w:jc w:val="center"/>
        <w:rPr>
          <w:i/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"/>
        <w:tblW w:w="10035" w:type="dxa"/>
        <w:jc w:val="left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5098"/>
        <w:gridCol w:w="4936"/>
      </w:tblGrid>
      <w:tr>
        <w:trPr/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2"/>
        <w:tblW w:w="5100" w:type="dxa"/>
        <w:jc w:val="left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5100"/>
      </w:tblGrid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/>
        <w:ind w:left="720" w:hanging="360"/>
        <w:rPr>
          <w:u w:val="none"/>
        </w:rPr>
      </w:pPr>
      <w:r>
        <w:rPr>
          <w:i/>
        </w:rPr>
        <w:t>Os dados bancários acima indicados deverão ser, necessariamente, os da proponente. Não serão realizados pagamentos em conta bancária de terceiros, de titularidade diferente.</w:t>
      </w:r>
      <w:r>
        <w:rPr>
          <w:b/>
          <w:sz w:val="24"/>
          <w:szCs w:val="24"/>
        </w:rPr>
        <w:tab/>
        <w:tab/>
        <w:tab/>
        <w:tab/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3"/>
        <w:tblW w:w="9851" w:type="dxa"/>
        <w:jc w:val="left"/>
        <w:tblInd w:w="-16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681"/>
        <w:gridCol w:w="5184"/>
        <w:gridCol w:w="1620"/>
        <w:gridCol w:w="1185"/>
        <w:gridCol w:w="1181"/>
      </w:tblGrid>
      <w:tr>
        <w:trPr/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5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i/>
                <w:i/>
                <w:color w:val="4A86E8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Especificação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Unid.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 Unitário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Preço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Total</w:t>
            </w:r>
          </w:p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</w:t>
            </w:r>
          </w:p>
        </w:tc>
      </w:tr>
      <w:tr>
        <w:trPr/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1</w:t>
            </w:r>
          </w:p>
        </w:tc>
        <w:tc>
          <w:tcPr>
            <w:tcW w:w="5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Corpodotexto"/>
              <w:spacing w:lineRule="auto" w:line="240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</w:pPr>
            <w:bookmarkStart w:id="0" w:name="docs-internal-guid-5d8d9ea2-7fff-eb47-67c4-d7ef4627ee49"/>
            <w:bookmarkEnd w:id="0"/>
            <w:r>
              <w:rPr/>
              <w:commentReference w:id="0"/>
            </w: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Serviço de Revisão Geral e Manutenção Preventiva:</w:t>
            </w:r>
          </w:p>
          <w:p>
            <w:pPr>
              <w:pStyle w:val="Corpodotexto"/>
              <w:rPr/>
            </w:pPr>
            <w:r>
              <w:rPr/>
            </w:r>
          </w:p>
          <w:p>
            <w:pPr>
              <w:pStyle w:val="Corpodotexto"/>
              <w:bidi w:val="0"/>
              <w:spacing w:lineRule="auto" w:line="331" w:before="0" w:after="0"/>
              <w:jc w:val="both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Será realizado SERVIÇO DE REVISÃO GERAL das empilhadeiras abaixo identificadas, deverão contemplar análise de todos os componentes para seu adequado funcionamento e que possam apresentar desgastes.</w:t>
            </w:r>
          </w:p>
          <w:p>
            <w:pPr>
              <w:pStyle w:val="Corpodotexto"/>
              <w:bidi w:val="0"/>
              <w:spacing w:lineRule="auto" w:line="331" w:before="0" w:after="0"/>
              <w:jc w:val="both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 xml:space="preserve">Empilhadeiras tombos: </w:t>
            </w: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103269 e 52461.</w:t>
            </w:r>
          </w:p>
          <w:p>
            <w:pPr>
              <w:pStyle w:val="Corpodotexto"/>
              <w:bidi w:val="0"/>
              <w:spacing w:lineRule="auto" w:line="331" w:before="0" w:after="0"/>
              <w:jc w:val="both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Tais como:</w:t>
            </w:r>
          </w:p>
          <w:p>
            <w:pPr>
              <w:pStyle w:val="Corpodotexto"/>
              <w:rPr/>
            </w:pPr>
            <w:r>
              <w:rPr/>
            </w:r>
          </w:p>
          <w:p>
            <w:pPr>
              <w:pStyle w:val="Corpodotexto"/>
              <w:bidi w:val="0"/>
              <w:spacing w:lineRule="auto" w:line="331" w:before="0" w:after="0"/>
              <w:jc w:val="both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- Motor, componentes elétricos/eletrônicos,</w:t>
            </w:r>
          </w:p>
          <w:p>
            <w:pPr>
              <w:pStyle w:val="Corpodotexto"/>
              <w:bidi w:val="0"/>
              <w:spacing w:lineRule="auto" w:line="331" w:before="0" w:after="0"/>
              <w:jc w:val="both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baterias, carregadores, correias, garfos, rodas, sistema hidráulico, juntas, cilindro, freios e acionamentos, dentre outros,</w:t>
            </w:r>
          </w:p>
          <w:p>
            <w:pPr>
              <w:pStyle w:val="Corpodotexto"/>
              <w:rPr/>
            </w:pPr>
            <w:r>
              <w:rPr/>
            </w:r>
          </w:p>
          <w:p>
            <w:pPr>
              <w:pStyle w:val="Corpodotexto"/>
              <w:bidi w:val="0"/>
              <w:spacing w:lineRule="auto" w:line="331" w:before="0" w:after="0"/>
              <w:jc w:val="both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- A MANUTENÇÃO PREVENTIVA tem como intuito detectar, corrigir, prevenir problemas.</w:t>
            </w:r>
          </w:p>
          <w:p>
            <w:pPr>
              <w:pStyle w:val="Corpodotexto"/>
              <w:bidi w:val="0"/>
              <w:spacing w:lineRule="auto" w:line="331" w:before="0" w:after="0"/>
              <w:jc w:val="both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Lubrificar, melhorar a fixação e examinar os desgastes de contatos elétricos, correias, sistema hidráulico, garfos, juntas, cilindros, freios, acionadores, motor e demais itens que compõem a empilhadeira e são os responsáveis pelo bom funcionamento do equipamento e a segurança dos manobradores e demais profissionais.</w:t>
            </w:r>
          </w:p>
          <w:p>
            <w:pPr>
              <w:pStyle w:val="Corpodotexto"/>
              <w:bidi w:val="0"/>
              <w:spacing w:lineRule="auto" w:line="331" w:before="0" w:after="0"/>
              <w:jc w:val="both"/>
              <w:rPr>
                <w:b w:val="false"/>
                <w:b w:val="false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- Deverá estar contemplado no serviço possíveis trocas de peças pequenas, tais como: Parafusos, porcas, arruelas, contatos elétricos, fios elétricos, etc.</w:t>
              <w:br/>
            </w:r>
            <w:r>
              <w:rPr>
                <w:b w:val="false"/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blinkBackground"/>
                <w:shd w:fill="FFFFFF" w:val="clear"/>
              </w:rPr>
              <w:t xml:space="preserve">● 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OS SERVIÇOS PODERÃO SER EXECUTADOS NAS DEPENDÊNCIAS DO TRIBUNAL ou, se for de interesse da contratada, em suas dependências desde que o transporte seja de responsabilidade da contratada, e a remoção do equipamento se dê mediante assinatura de termo de responsabilidade.</w:t>
            </w:r>
          </w:p>
          <w:p>
            <w:pPr>
              <w:pStyle w:val="Corpodotexto"/>
              <w:bidi w:val="0"/>
              <w:spacing w:lineRule="auto" w:line="331" w:before="0" w:after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blinkBackground"/>
                <w:shd w:fill="FFFFFF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blinkBackground"/>
                <w:shd w:fill="FFFFFF" w:val="clear"/>
              </w:rPr>
              <w:t xml:space="preserve">● 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A execução dos serviços e/ou a remoção dos equipamentos deverá ser previamente agendada com a equipe do Almoxarifado.</w:t>
            </w:r>
          </w:p>
          <w:p>
            <w:pPr>
              <w:pStyle w:val="Corpodotexto"/>
              <w:bidi w:val="0"/>
              <w:spacing w:lineRule="auto" w:line="331" w:before="0" w:after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blinkBackground"/>
                <w:shd w:fill="FFFFFF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blinkBackground"/>
                <w:shd w:fill="FFFFFF" w:val="clear"/>
              </w:rPr>
              <w:t xml:space="preserve">● 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A empresa vencedora fará de forma escalonada todos os serviços. Ou seja, 01 (uma) empilhadeira por vez, para que os trabalhos no Almoxarifado não sejam prejudicados.</w:t>
            </w:r>
          </w:p>
          <w:p>
            <w:pPr>
              <w:pStyle w:val="Corpodotexto"/>
              <w:bidi w:val="0"/>
              <w:spacing w:lineRule="auto" w:line="331" w:before="0" w:after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blinkBackground"/>
                <w:shd w:fill="FFFFFF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blinkBackground"/>
                <w:shd w:fill="FFFFFF" w:val="clear"/>
              </w:rPr>
              <w:t xml:space="preserve">● 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Os orçamentos foram feitos após visita técnica e análise dos equipamentos.</w:t>
            </w:r>
          </w:p>
          <w:p>
            <w:pPr>
              <w:pStyle w:val="Corpodotexto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blinkBackground"/>
                <w:shd w:fill="FFFFFF" w:val="clear"/>
              </w:rPr>
              <w:t xml:space="preserve">● </w:t>
            </w: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O prazo de garantia dos serviços efetuados deverá ser de 90 (noventa) dias, a contar da data de recebimento definitivo do serviço.</w:t>
            </w:r>
          </w:p>
          <w:p>
            <w:pPr>
              <w:pStyle w:val="Corpodotexto"/>
              <w:bidi w:val="0"/>
              <w:spacing w:lineRule="auto" w:line="331" w:before="0" w:after="0"/>
              <w:jc w:val="both"/>
              <w:rPr/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blinkBackground"/>
                <w:shd w:fill="FFFFFF" w:val="clear"/>
              </w:rPr>
              <w:t xml:space="preserve">● 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 xml:space="preserve">Deve a participante vencedora entregar ao final da execução do serviço de “revisão geral e manutenção preventiva”, nas duas máquinas, um relatório completo de análises e orientações como apoio técnico para que o Tribunal do Trabalho saiba se há medidas necessárias a tomar, e sendo o caso, quais, com vista a preservação e da funcionalidade do equipamento, a continuidade regular do serviço e, acima de tudo, a segurança de todos os envolvidos, sejam operadores de empilhadeiras, servidores ou público. </w:t>
            </w:r>
            <w:r>
              <w:rPr/>
              <w:br/>
            </w:r>
            <w:r>
              <w:rPr/>
              <w:commentReference w:id="1"/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  <w:t xml:space="preserve">     </w:t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  <w:t xml:space="preserve">          </w:t>
            </w:r>
            <w:r>
              <w:rPr/>
              <w:t>2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br/>
              <w:t>Empilhadeiras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  <w:t>2</w:t>
            </w:r>
          </w:p>
        </w:tc>
        <w:tc>
          <w:tcPr>
            <w:tcW w:w="5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Corpodotexto"/>
              <w:spacing w:lineRule="auto" w:line="240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</w:pPr>
            <w:bookmarkStart w:id="1" w:name="docs-internal-guid-b6c7c3a0-7fff-ba86-4052-343292fd3d71"/>
            <w:bookmarkEnd w:id="1"/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Empilhadeira 01</w:t>
            </w:r>
          </w:p>
          <w:p>
            <w:pPr>
              <w:pStyle w:val="Corpodotexto"/>
              <w:rPr/>
            </w:pPr>
            <w:r>
              <w:rPr/>
            </w:r>
          </w:p>
          <w:p>
            <w:pPr>
              <w:pStyle w:val="Corpodotexto"/>
              <w:bidi w:val="0"/>
              <w:spacing w:lineRule="auto" w:line="331" w:before="0" w:after="0"/>
              <w:jc w:val="both"/>
              <w:rPr>
                <w:b w:val="false"/>
                <w:b w:val="false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 xml:space="preserve">- Capacidade: Até 1600Kg / - Marca: PALETRANS / - Modelo: PT1654 / - </w:t>
            </w: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Tombo: 103269</w:t>
            </w:r>
          </w:p>
          <w:p>
            <w:pPr>
              <w:pStyle w:val="Corpodotexto"/>
              <w:bidi w:val="0"/>
              <w:spacing w:lineRule="auto" w:line="331" w:before="0" w:after="0"/>
              <w:jc w:val="both"/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blinkBackground"/>
                <w:shd w:fill="FFFFFF" w:val="clear"/>
              </w:rPr>
            </w:pPr>
            <w:r>
              <w:rPr>
                <w:caps w:val="false"/>
                <w:smallCaps w:val="false"/>
                <w:strike w:val="false"/>
                <w:dstrike w:val="false"/>
                <w:color w:val="000000"/>
                <w:u w:val="none"/>
                <w:effect w:val="blinkBackground"/>
                <w:shd w:fill="FFFFFF" w:val="clear"/>
              </w:rPr>
              <w:t> 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- Verificação das baterias;</w:t>
            </w:r>
          </w:p>
          <w:p>
            <w:pPr>
              <w:pStyle w:val="Corpodotexto"/>
              <w:bidi w:val="0"/>
              <w:spacing w:lineRule="auto" w:line="331" w:before="0" w:after="0"/>
              <w:jc w:val="both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- Lubrificação geral do equipamento;</w:t>
            </w:r>
          </w:p>
          <w:p>
            <w:pPr>
              <w:pStyle w:val="Corpodotexto"/>
              <w:bidi w:val="0"/>
              <w:spacing w:lineRule="auto" w:line="331" w:before="0" w:after="0"/>
              <w:jc w:val="both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- Chave de acionamento da empilhadeira quebrou dentro do contato;</w:t>
            </w:r>
          </w:p>
          <w:p>
            <w:pPr>
              <w:pStyle w:val="Corpodotexto"/>
              <w:bidi w:val="0"/>
              <w:spacing w:lineRule="auto" w:line="331" w:before="0" w:after="0"/>
              <w:jc w:val="both"/>
              <w:rPr>
                <w:rFonts w:ascii="Arial;sans-serif" w:hAnsi="Arial;sans-serif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- Substituição dos conectores que são instalados no acionamento da chave;</w:t>
            </w:r>
          </w:p>
          <w:p>
            <w:pPr>
              <w:pStyle w:val="Corpodotexto"/>
              <w:bidi w:val="0"/>
              <w:spacing w:lineRule="auto" w:line="331" w:before="0" w:after="0"/>
              <w:jc w:val="left"/>
              <w:rPr/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- Substituição de todas rodas, inclusive de tração;</w:t>
              <w:br/>
              <w:t>- Revisão geral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  <w:t xml:space="preserve">          </w:t>
            </w:r>
            <w:r>
              <w:rPr/>
              <w:t>1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br/>
              <w:t>Empilhadeira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5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Corpodotexto"/>
              <w:spacing w:lineRule="auto" w:line="240"/>
              <w:rPr>
                <w:rFonts w:ascii="Arial;sans-serif" w:hAnsi="Arial;sans-serif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</w:pPr>
            <w:bookmarkStart w:id="2" w:name="docs-internal-guid-4195bd25-7fff-3629-e087-615832ddda19"/>
            <w:bookmarkEnd w:id="2"/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Empilhadeira 02</w:t>
            </w:r>
          </w:p>
          <w:p>
            <w:pPr>
              <w:pStyle w:val="Corpodotexto"/>
              <w:bidi w:val="0"/>
              <w:spacing w:lineRule="auto" w:line="331" w:before="0" w:after="0"/>
              <w:jc w:val="left"/>
              <w:rPr>
                <w:b w:val="false"/>
                <w:b w:val="false"/>
              </w:rPr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 xml:space="preserve">- Capacidade: Até 1400Kg / - Marca: PALETRANS / - Modelo:- PT1445 / - </w:t>
            </w:r>
            <w:r>
              <w:rPr>
                <w:rFonts w:ascii="Arial;sans-serif" w:hAnsi="Arial;sans-serif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Tombo: 52461</w:t>
            </w: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br/>
              <w:t>- Verificação das baterias; Lubrificação geral do equipamento;</w:t>
            </w:r>
          </w:p>
          <w:p>
            <w:pPr>
              <w:pStyle w:val="Corpodotexto"/>
              <w:bidi w:val="0"/>
              <w:spacing w:lineRule="auto" w:line="331" w:before="0" w:after="0"/>
              <w:jc w:val="left"/>
              <w:rPr>
                <w:b w:val="false"/>
                <w:b w:val="false"/>
              </w:rPr>
            </w:pPr>
            <w:bookmarkStart w:id="3" w:name="docs-internal-guid-d8645ca0-7fff-81fa-3de1-e61dc4c6b2f4"/>
            <w:bookmarkEnd w:id="3"/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- Substituir carenagem traseira em plástico na cor cinza quebrada;</w:t>
              <w:br/>
              <w:t>- Substituição do amortecedor da haste de comando da empilhadeira;</w:t>
              <w:br/>
              <w:t>- Sistema anti esmagamento não está funcionando;</w:t>
              <w:br/>
              <w:t>- Substituição de todas rodas, inclusive de tração;</w:t>
            </w:r>
          </w:p>
          <w:p>
            <w:pPr>
              <w:pStyle w:val="Corpodotexto"/>
              <w:bidi w:val="0"/>
              <w:spacing w:lineRule="auto" w:line="331" w:before="0" w:after="0"/>
              <w:jc w:val="left"/>
              <w:rPr/>
            </w:pPr>
            <w:r>
              <w:rPr>
                <w:rFonts w:ascii="Arial;sans-serif" w:hAnsi="Arial;sans-serif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z w:val="24"/>
                <w:u w:val="none"/>
                <w:effect w:val="blinkBackground"/>
                <w:shd w:fill="FFFFFF" w:val="clear"/>
              </w:rPr>
              <w:t>- Pintura geral;</w:t>
              <w:br/>
              <w:t>- Revisão geral</w:t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</w:r>
          </w:p>
          <w:p>
            <w:pPr>
              <w:pStyle w:val="Normal"/>
              <w:spacing w:lineRule="auto" w:line="240"/>
              <w:rPr/>
            </w:pPr>
            <w:r>
              <w:rPr/>
              <w:t xml:space="preserve">           </w:t>
            </w:r>
            <w:r>
              <w:rPr/>
              <w:t>1</w:t>
            </w:r>
          </w:p>
          <w:p>
            <w:pPr>
              <w:pStyle w:val="Normal"/>
              <w:spacing w:lineRule="auto" w:line="240"/>
              <w:rPr/>
            </w:pPr>
            <w:r>
              <w:rPr/>
              <w:br/>
              <w:t>Empilhadeira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5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  <w:tc>
          <w:tcPr>
            <w:tcW w:w="11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"/>
        <w:numPr>
          <w:ilvl w:val="0"/>
          <w:numId w:val="2"/>
        </w:numPr>
        <w:ind w:left="720" w:hanging="360"/>
        <w:rPr>
          <w:i/>
          <w:i/>
        </w:rPr>
      </w:pPr>
      <w:r>
        <w:rPr>
          <w:b/>
          <w:i/>
        </w:rPr>
        <w:t>O envio da proposta implica anuência aos termos do Termo de Referência (TR)</w:t>
      </w:r>
      <w:r>
        <w:rPr>
          <w:i/>
        </w:rPr>
        <w:t>.</w:t>
      </w:r>
    </w:p>
    <w:p>
      <w:pPr>
        <w:pStyle w:val="Normal"/>
        <w:numPr>
          <w:ilvl w:val="0"/>
          <w:numId w:val="2"/>
        </w:numPr>
        <w:spacing w:lineRule="auto" w:line="240"/>
        <w:ind w:left="720" w:hanging="360"/>
        <w:jc w:val="both"/>
        <w:rPr>
          <w:i/>
          <w:i/>
        </w:rPr>
      </w:pPr>
      <w:r>
        <w:rPr>
          <w:i/>
        </w:rPr>
        <w:t>O preço deve contemplar todos os custos necessários para prestação dos serviços. Se houver divergência entre preço unitário e total, prevalecerá o resultado da multiplicação do preço unitário com duas casas decimais, pela quantidade.</w:t>
      </w:r>
    </w:p>
    <w:p>
      <w:pPr>
        <w:pStyle w:val="Normal"/>
        <w:spacing w:lineRule="auto" w:line="24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4"/>
        <w:tblW w:w="10133" w:type="dxa"/>
        <w:jc w:val="left"/>
        <w:tblInd w:w="-1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0133"/>
      </w:tblGrid>
      <w:tr>
        <w:trPr/>
        <w:tc>
          <w:tcPr>
            <w:tcW w:w="10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Validade da Proposta: __________ dias corridos.  </w:t>
            </w:r>
          </w:p>
        </w:tc>
      </w:tr>
      <w:tr>
        <w:trPr/>
        <w:tc>
          <w:tcPr>
            <w:tcW w:w="10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Prazo para a Execução dos Serviços: _________ dias corridos.</w:t>
            </w:r>
          </w:p>
        </w:tc>
      </w:tr>
    </w:tbl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Informações complementares poderão ser obtidas junto à (área/Setor) ______________, com o servidor __________________________. Fone ____________. E-mail _______________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>
      <w:pPr>
        <w:pStyle w:val="Normal"/>
        <w:spacing w:lineRule="auto" w:line="240" w:before="0" w:after="120"/>
        <w:jc w:val="both"/>
        <w:rPr/>
      </w:pPr>
      <w:r>
        <w:rPr>
          <w:sz w:val="24"/>
          <w:szCs w:val="24"/>
        </w:rPr>
        <w:t xml:space="preserve">O Orçamento preenchido deve ser devolvido para o e-mail _____________________ </w:t>
      </w:r>
      <w:r>
        <w:rPr>
          <w:i/>
          <w:color w:val="4A86E8"/>
        </w:rPr>
        <w:t>Aqui também pode constar, caso a área julgue conveniente, prazo limite para o encaminhamento da proposta pelas empresas, ex: Os orçamentos devem ser encaminhados até ___/___/___.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b/>
          <w:sz w:val="24"/>
          <w:szCs w:val="24"/>
        </w:rPr>
        <w:t>DADOS DO RESPONSÁVEL PELA ELABORAÇÃO DO ORÇAMENTO</w:t>
      </w:r>
    </w:p>
    <w:tbl>
      <w:tblPr>
        <w:tblStyle w:val="Table5"/>
        <w:tblW w:w="9855" w:type="dxa"/>
        <w:jc w:val="left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855"/>
      </w:tblGrid>
      <w:tr>
        <w:trPr/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>
        <w:trPr/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>
      <w:pPr>
        <w:pStyle w:val="Normal"/>
        <w:spacing w:lineRule="auto" w:line="24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Table6"/>
        <w:tblW w:w="9765" w:type="dxa"/>
        <w:jc w:val="left"/>
        <w:tblInd w:w="-10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97" w:type="dxa"/>
          <w:bottom w:w="0" w:type="dxa"/>
          <w:right w:w="108" w:type="dxa"/>
        </w:tblCellMar>
        <w:tblLook w:val="0000"/>
      </w:tblPr>
      <w:tblGrid>
        <w:gridCol w:w="4903"/>
        <w:gridCol w:w="4861"/>
      </w:tblGrid>
      <w:tr>
        <w:trPr/>
        <w:tc>
          <w:tcPr>
            <w:tcW w:w="4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>
      <w:pPr>
        <w:pStyle w:val="Normal"/>
        <w:spacing w:lineRule="auto" w:line="240" w:before="0" w:after="120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  <w:t>1- Divulgação da nota de empenho:</w:t>
      </w:r>
    </w:p>
    <w:tbl>
      <w:tblPr>
        <w:tblStyle w:val="Table7"/>
        <w:tblW w:w="9720" w:type="dxa"/>
        <w:jc w:val="left"/>
        <w:tblInd w:w="-10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97" w:type="dxa"/>
          <w:bottom w:w="0" w:type="dxa"/>
          <w:right w:w="108" w:type="dxa"/>
        </w:tblCellMar>
        <w:tblLook w:val="0000"/>
      </w:tblPr>
      <w:tblGrid>
        <w:gridCol w:w="9720"/>
      </w:tblGrid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2">
              <w:r>
                <w:rPr>
                  <w:rStyle w:val="LinkdaInternet"/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  <w:t>2 - Penalidades:</w:t>
      </w:r>
    </w:p>
    <w:tbl>
      <w:tblPr>
        <w:tblStyle w:val="Table8"/>
        <w:tblW w:w="9720" w:type="dxa"/>
        <w:jc w:val="left"/>
        <w:tblInd w:w="-10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97" w:type="dxa"/>
          <w:bottom w:w="0" w:type="dxa"/>
          <w:right w:w="108" w:type="dxa"/>
        </w:tblCellMar>
        <w:tblLook w:val="0000"/>
      </w:tblPr>
      <w:tblGrid>
        <w:gridCol w:w="9720"/>
      </w:tblGrid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i/>
              </w:rPr>
              <w:t xml:space="preserve">A regularidade fiscal e trabalhista deverá ser mantida durante a vigência da contratação, sob pena de aplicação de multa de 1% do valor da nota fiscal, cujo valor será retido dos créditos da empresa, sem prejuízo da aplicação das demais penalidades previstas em lei. </w:t>
            </w:r>
            <w:r>
              <w:rPr>
                <w:i/>
                <w:color w:val="4A86E8"/>
              </w:rPr>
              <w:t>Aqui colocar também as outras penalidades eventualmente estabelecidas no Projeto Básico.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  <w:t>3 - Condições de Pagamento:</w:t>
      </w:r>
    </w:p>
    <w:tbl>
      <w:tblPr>
        <w:tblStyle w:val="Table9"/>
        <w:tblW w:w="9690" w:type="dxa"/>
        <w:jc w:val="left"/>
        <w:tblInd w:w="-10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97" w:type="dxa"/>
          <w:bottom w:w="0" w:type="dxa"/>
          <w:right w:w="108" w:type="dxa"/>
        </w:tblCellMar>
        <w:tblLook w:val="0000"/>
      </w:tblPr>
      <w:tblGrid>
        <w:gridCol w:w="9690"/>
      </w:tblGrid>
      <w:tr>
        <w:trPr/>
        <w:tc>
          <w:tcPr>
            <w:tcW w:w="9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>O 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  <w:t>4 - Documentação exigível:</w:t>
      </w:r>
    </w:p>
    <w:tbl>
      <w:tblPr>
        <w:tblStyle w:val="Table10"/>
        <w:tblW w:w="9840" w:type="dxa"/>
        <w:jc w:val="left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840"/>
      </w:tblGrid>
      <w:tr>
        <w:trPr/>
        <w:tc>
          <w:tcPr>
            <w:tcW w:w="9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>A empresa deve estar em situação de regularidade fiscal e trabalhista: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Certidão Negativa do FGTS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http://www.tst.jus.br/certidao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Portal da Transparência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>
                  <w:rStyle w:val="LinkdaInternet"/>
                  <w:i/>
                  <w:color w:val="1155CC"/>
                  <w:u w:val="single"/>
                </w:rPr>
                <w:t>http://www.transparencia.gov.br/sancoes/ceis?ordenarPor=nome&amp;direcao=asc</w:t>
              </w:r>
            </w:hyperlink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No caso de haver contrato, deverá constar o nome de quem assinará o contrato, CPF e contrato social/procuração.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  <w:t>5 - Fornecedor Pessoa Física</w:t>
      </w:r>
    </w:p>
    <w:tbl>
      <w:tblPr>
        <w:tblStyle w:val="Table11"/>
        <w:tblW w:w="9750" w:type="dxa"/>
        <w:jc w:val="left"/>
        <w:tblInd w:w="-10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97" w:type="dxa"/>
          <w:bottom w:w="0" w:type="dxa"/>
          <w:right w:w="108" w:type="dxa"/>
        </w:tblCellMar>
        <w:tblLook w:val="0000"/>
      </w:tblPr>
      <w:tblGrid>
        <w:gridCol w:w="9750"/>
      </w:tblGrid>
      <w:tr>
        <w:trPr/>
        <w:tc>
          <w:tcPr>
            <w:tcW w:w="9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i/>
              </w:rPr>
              <w:t xml:space="preserve"> </w:t>
            </w:r>
            <w:hyperlink r:id="rId4">
              <w:r>
                <w:rPr>
                  <w:rStyle w:val="LinkdaInternet"/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  <w:t>6 – LGPD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/>
        <w:jc w:val="both"/>
        <w:rPr/>
      </w:pPr>
      <w:r>
        <w:rPr>
          <w:i/>
          <w:shd w:fill="FFFFFF" w:val="clear"/>
        </w:rPr>
        <w:t>O tratamento dos dados coletados no presente orçamento está em integral conformidade com a Lei nº 13.709/2019 (Lei Geral de Proteção de Dados -LGPD).</w:t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Table12"/>
        <w:tblW w:w="9638" w:type="dxa"/>
        <w:jc w:val="left"/>
        <w:tblInd w:w="-2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/>
      </w:tblPr>
      <w:tblGrid>
        <w:gridCol w:w="9638"/>
      </w:tblGrid>
      <w:tr>
        <w:trPr/>
        <w:tc>
          <w:tcPr>
            <w:tcW w:w="9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>c) eventuais dúvidas poderão ser dirimidas junto à Secretaria de Orçamento e Finanças por meio do email seof@trt12.jus.br ou telefone (48) 3216-4059.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Acesso ao SIGEO-JT e orientações:</w:t>
            </w:r>
          </w:p>
          <w:p>
            <w:pPr>
              <w:pStyle w:val="Normal"/>
              <w:spacing w:lineRule="auto" w:line="240"/>
              <w:jc w:val="both"/>
              <w:rPr/>
            </w:pPr>
            <w:hyperlink r:id="rId5">
              <w:r>
                <w:rPr>
                  <w:rStyle w:val="LinkdaInternet"/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>
            <w:pPr>
              <w:pStyle w:val="Normal"/>
              <w:spacing w:lineRule="auto" w:line="240"/>
              <w:jc w:val="both"/>
              <w:rPr/>
            </w:pPr>
            <w:hyperlink r:id="rId6">
              <w:r>
                <w:rPr>
                  <w:rStyle w:val="LinkdaInternet"/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7"/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" w:date="2023-11-27T10:30:15Z" w:initials="">
    <w:p>
      <w:r>
        <w:rPr/>
      </w:r>
    </w:p>
    <w:p>
      <w:r>
        <w:rPr/>
      </w:r>
    </w:p>
  </w:comment>
  <w:comment w:id="1" w:author="" w:date="2023-11-27T10:30:15Z" w:initials="">
    <w:p>
      <w:r>
        <w:rPr/>
      </w:r>
    </w:p>
    <w:p>
      <w:r>
        <w:rPr/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altName w:val="sans-serif"/>
    <w:charset w:val="00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  <w:font w:name="Noto Sans Symbol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jc w:val="both"/>
      <w:rPr/>
    </w:pPr>
    <w:r>
      <w:rPr/>
      <w:t>Versão 2.5</w:t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  <w:b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z w:val="24"/>
        <w:u w:val="none"/>
        <w:b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z w:val="24"/>
        <w:u w:val="none"/>
        <w:b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z w:val="24"/>
        <w:u w:val="none"/>
        <w:b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z w:val="24"/>
        <w:u w:val="none"/>
        <w:b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z w:val="24"/>
        <w:u w:val="none"/>
        <w:b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z w:val="24"/>
        <w:u w:val="none"/>
        <w:b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z w:val="24"/>
        <w:u w:val="none"/>
        <w:b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z w:val="24"/>
        <w:u w:val="none"/>
        <w:b/>
        <w:rFonts w:cs="OpenSymbol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24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76"/>
      <w:jc w:val="left"/>
    </w:pPr>
    <w:rPr>
      <w:rFonts w:ascii="Arial" w:hAnsi="Arial" w:eastAsia="Arial" w:cs="Arial"/>
      <w:color w:val="00000A"/>
      <w:sz w:val="22"/>
      <w:szCs w:val="22"/>
      <w:lang w:val="pt-BR" w:eastAsia="zh-CN" w:bidi="hi-IN"/>
    </w:rPr>
  </w:style>
  <w:style w:type="paragraph" w:styleId="Ttulo1">
    <w:name w:val="Título 1"/>
    <w:next w:val="Normal"/>
    <w:pPr>
      <w:keepNext/>
      <w:keepLines/>
      <w:pageBreakBefore w:val="false"/>
      <w:widowControl w:val="false"/>
      <w:suppressAutoHyphens w:val="true"/>
      <w:spacing w:lineRule="auto" w:line="240" w:before="480" w:after="120"/>
    </w:pPr>
    <w:rPr>
      <w:rFonts w:ascii="Arial" w:hAnsi="Arial" w:eastAsia="Arial" w:cs="Arial"/>
      <w:b/>
      <w:color w:val="auto"/>
      <w:sz w:val="48"/>
      <w:szCs w:val="48"/>
      <w:lang w:val="pt-BR" w:eastAsia="zh-CN" w:bidi="hi-IN"/>
    </w:rPr>
  </w:style>
  <w:style w:type="paragraph" w:styleId="Ttulo2">
    <w:name w:val="Título 2"/>
    <w:next w:val="Normal"/>
    <w:pPr>
      <w:keepNext/>
      <w:keepLines/>
      <w:pageBreakBefore w:val="false"/>
      <w:widowControl w:val="false"/>
      <w:suppressAutoHyphens w:val="true"/>
      <w:spacing w:lineRule="auto" w:line="240" w:before="360" w:after="80"/>
    </w:pPr>
    <w:rPr>
      <w:rFonts w:ascii="Arial" w:hAnsi="Arial" w:eastAsia="Arial" w:cs="Arial"/>
      <w:b/>
      <w:color w:val="auto"/>
      <w:sz w:val="36"/>
      <w:szCs w:val="36"/>
      <w:lang w:val="pt-BR" w:eastAsia="zh-CN" w:bidi="hi-IN"/>
    </w:rPr>
  </w:style>
  <w:style w:type="paragraph" w:styleId="Ttulo3">
    <w:name w:val="Título 3"/>
    <w:next w:val="Normal"/>
    <w:pPr>
      <w:keepNext/>
      <w:keepLines/>
      <w:pageBreakBefore w:val="false"/>
      <w:widowControl w:val="false"/>
      <w:suppressAutoHyphens w:val="true"/>
      <w:spacing w:lineRule="auto" w:line="240" w:before="280" w:after="80"/>
    </w:pPr>
    <w:rPr>
      <w:rFonts w:ascii="Arial" w:hAnsi="Arial" w:eastAsia="Arial" w:cs="Arial"/>
      <w:b/>
      <w:color w:val="auto"/>
      <w:sz w:val="28"/>
      <w:szCs w:val="28"/>
      <w:lang w:val="pt-BR" w:eastAsia="zh-CN" w:bidi="hi-IN"/>
    </w:rPr>
  </w:style>
  <w:style w:type="paragraph" w:styleId="Ttulo4">
    <w:name w:val="Título 4"/>
    <w:next w:val="Normal"/>
    <w:pPr>
      <w:keepNext/>
      <w:keepLines/>
      <w:pageBreakBefore w:val="false"/>
      <w:widowControl w:val="false"/>
      <w:suppressAutoHyphens w:val="true"/>
      <w:spacing w:lineRule="auto" w:line="240" w:before="240" w:after="40"/>
    </w:pPr>
    <w:rPr>
      <w:rFonts w:ascii="Arial" w:hAnsi="Arial" w:eastAsia="Arial" w:cs="Arial"/>
      <w:b/>
      <w:color w:val="auto"/>
      <w:sz w:val="24"/>
      <w:szCs w:val="24"/>
      <w:lang w:val="pt-BR" w:eastAsia="zh-CN" w:bidi="hi-IN"/>
    </w:rPr>
  </w:style>
  <w:style w:type="paragraph" w:styleId="Ttulo5">
    <w:name w:val="Título 5"/>
    <w:next w:val="Normal"/>
    <w:pPr>
      <w:keepNext/>
      <w:keepLines/>
      <w:pageBreakBefore w:val="false"/>
      <w:widowControl w:val="false"/>
      <w:suppressAutoHyphens w:val="true"/>
      <w:spacing w:lineRule="auto" w:line="240" w:before="220" w:after="40"/>
    </w:pPr>
    <w:rPr>
      <w:rFonts w:ascii="Arial" w:hAnsi="Arial" w:eastAsia="Arial" w:cs="Arial"/>
      <w:b/>
      <w:color w:val="auto"/>
      <w:sz w:val="22"/>
      <w:szCs w:val="22"/>
      <w:lang w:val="pt-BR" w:eastAsia="zh-CN" w:bidi="hi-IN"/>
    </w:rPr>
  </w:style>
  <w:style w:type="paragraph" w:styleId="Ttulo6">
    <w:name w:val="Título 6"/>
    <w:next w:val="Normal"/>
    <w:pPr>
      <w:keepNext/>
      <w:keepLines/>
      <w:pageBreakBefore w:val="false"/>
      <w:widowControl w:val="false"/>
      <w:suppressAutoHyphens w:val="true"/>
      <w:spacing w:lineRule="auto" w:line="240" w:before="200" w:after="40"/>
    </w:pPr>
    <w:rPr>
      <w:rFonts w:ascii="Arial" w:hAnsi="Arial" w:eastAsia="Arial" w:cs="Arial"/>
      <w:b/>
      <w:color w:val="auto"/>
      <w:sz w:val="20"/>
      <w:szCs w:val="20"/>
      <w:lang w:val="pt-BR" w:eastAsia="zh-CN" w:bidi="hi-IN"/>
    </w:rPr>
  </w:style>
  <w:style w:type="character" w:styleId="ListLabel1">
    <w:name w:val="ListLabel 1"/>
    <w:qFormat/>
    <w:rPr>
      <w:b/>
      <w:sz w:val="24"/>
      <w:u w:val="none"/>
    </w:rPr>
  </w:style>
  <w:style w:type="character" w:styleId="ListLabel2">
    <w:name w:val="ListLabel 2"/>
    <w:qFormat/>
    <w:rPr>
      <w:rFonts w:eastAsia="Noto Sans Symbols" w:cs="Noto Sans Symbols"/>
      <w:b/>
      <w:u w:val="no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ListLabel3">
    <w:name w:val="ListLabel 3"/>
    <w:qFormat/>
    <w:rPr>
      <w:rFonts w:cs="Wingdings"/>
      <w:b/>
      <w:sz w:val="24"/>
      <w:u w:val="none"/>
    </w:rPr>
  </w:style>
  <w:style w:type="character" w:styleId="ListLabel4">
    <w:name w:val="ListLabel 4"/>
    <w:qFormat/>
    <w:rPr>
      <w:rFonts w:cs="Wingdings 2"/>
      <w:b/>
      <w:sz w:val="24"/>
      <w:u w:val="none"/>
    </w:rPr>
  </w:style>
  <w:style w:type="character" w:styleId="ListLabel5">
    <w:name w:val="ListLabel 5"/>
    <w:qFormat/>
    <w:rPr>
      <w:rFonts w:cs="OpenSymbol"/>
      <w:b/>
      <w:sz w:val="24"/>
      <w:u w:val="none"/>
    </w:rPr>
  </w:style>
  <w:style w:type="character" w:styleId="ListLabel6">
    <w:name w:val="ListLabel 6"/>
    <w:qFormat/>
    <w:rPr>
      <w:rFonts w:cs="Noto Sans Symbols"/>
      <w:b/>
      <w:u w:val="none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00000A"/>
      <w:sz w:val="22"/>
      <w:szCs w:val="22"/>
      <w:lang w:val="pt-BR" w:eastAsia="zh-CN" w:bidi="hi-IN"/>
    </w:rPr>
  </w:style>
  <w:style w:type="paragraph" w:styleId="Ttulododocumento">
    <w:name w:val="Título do documento"/>
    <w:basedOn w:val="LOnormal"/>
    <w:next w:val="Normal"/>
    <w:pPr>
      <w:keepNext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ítulo"/>
    <w:basedOn w:val="LOnormal"/>
    <w:next w:val="Normal"/>
    <w:pPr>
      <w:keepNext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odap">
    <w:name w:val="Rodapé"/>
    <w:basedOn w:val="Normal"/>
    <w:pPr/>
    <w:rPr/>
  </w:style>
  <w:style w:type="paragraph" w:styleId="Citaes">
    <w:name w:val="Citações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ortal.trt12.jus.br/" TargetMode="External"/><Relationship Id="rId3" Type="http://schemas.openxmlformats.org/officeDocument/2006/relationships/hyperlink" Target="http://www.transparencia.gov.br/sancoes/ceis?ordenarPor=nome&amp;direcao=asc" TargetMode="External"/><Relationship Id="rId4" Type="http://schemas.openxmlformats.org/officeDocument/2006/relationships/hyperlink" Target="http://www.trt12.jus.br/portal/areas/secod/extranet/documentos/Cad_PF_e-social.doc" TargetMode="External"/><Relationship Id="rId5" Type="http://schemas.openxmlformats.org/officeDocument/2006/relationships/hyperlink" Target="https://portal.trt12.jus.br/licitacoes-e-contratos/informacoes" TargetMode="External"/><Relationship Id="rId6" Type="http://schemas.openxmlformats.org/officeDocument/2006/relationships/hyperlink" Target="https://sigeo.jt.jus.br/ajuda/kb/primeiro-acesso/" TargetMode="External"/><Relationship Id="rId7" Type="http://schemas.openxmlformats.org/officeDocument/2006/relationships/footer" Target="footer1.xml"/><Relationship Id="rId8" Type="http://schemas.openxmlformats.org/officeDocument/2006/relationships/comments" Target="comment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LibreOffice/4.4.5.2$Windows_x86 LibreOffice_project/a22f674fd25a3b6f45bdebf25400ed2adff0ff99</Application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pt-BR</dc:language>
  <dcterms:modified xsi:type="dcterms:W3CDTF">2023-11-27T10:52:27Z</dcterms:modified>
  <cp:revision>3</cp:revision>
</cp:coreProperties>
</file>