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TRIBUNAL REGIONAL DO TRABALHO DA 12ª REGIÃO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SECRETARIA ADMINISTRATIVA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SERVIÇO DE MATERIAL E PATRIMÔNIO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SETOR DE APOIO AOS SERVIÇOS GRÁFICOS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ORÇAMENTO - SERVIÇO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DADOS DA EMPRESA</w:t>
      </w:r>
    </w:p>
    <w:tbl>
      <w:tblPr>
        <w:tblStyle w:val="Table1"/>
        <w:tblW w:w="10035.0" w:type="dxa"/>
        <w:jc w:val="left"/>
        <w:tblLayout w:type="fixed"/>
        <w:tblLook w:val="0000"/>
      </w:tblPr>
      <w:tblGrid>
        <w:gridCol w:w="5099"/>
        <w:gridCol w:w="4936"/>
        <w:tblGridChange w:id="0">
          <w:tblGrid>
            <w:gridCol w:w="5099"/>
            <w:gridCol w:w="493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11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Razão Social: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11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11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ME/EPP     (    ) sim   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11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11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11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11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Cidade/UF: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11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DADOS BANCÁRIOS</w:t>
      </w:r>
    </w:p>
    <w:tbl>
      <w:tblPr>
        <w:tblStyle w:val="Table2"/>
        <w:tblW w:w="5100.0" w:type="dxa"/>
        <w:jc w:val="left"/>
        <w:tblLayout w:type="fixed"/>
        <w:tblLook w:val="0000"/>
      </w:tblPr>
      <w:tblGrid>
        <w:gridCol w:w="5100"/>
        <w:tblGridChange w:id="0">
          <w:tblGrid>
            <w:gridCol w:w="5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11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11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Agência: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11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C/C: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OBJETO</w:t>
      </w:r>
    </w:p>
    <w:tbl>
      <w:tblPr>
        <w:tblStyle w:val="Table3"/>
        <w:tblW w:w="10057.0" w:type="dxa"/>
        <w:jc w:val="center"/>
        <w:tblLayout w:type="fixed"/>
        <w:tblLook w:val="0600"/>
      </w:tblPr>
      <w:tblGrid>
        <w:gridCol w:w="10057"/>
        <w:tblGridChange w:id="0">
          <w:tblGrid>
            <w:gridCol w:w="10057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ind w:firstLine="593"/>
              <w:rPr>
                <w:rFonts w:ascii="Calibri" w:cs="Calibri" w:eastAsia="Calibri" w:hAnsi="Calibri"/>
                <w:color w:val="0d0d0d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highlight w:val="white"/>
                <w:rtl w:val="0"/>
              </w:rPr>
              <w:t xml:space="preserve">Contratação de empresa especializada na prestação de serviços de impressão digital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highlight w:val="white"/>
                <w:rtl w:val="0"/>
              </w:rPr>
              <w:t xml:space="preserve">banners</w:t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highlight w:val="white"/>
                <w:rtl w:val="0"/>
              </w:rPr>
              <w:t xml:space="preserve">, conforme especificações detalhadas do objeto.</w:t>
            </w:r>
          </w:p>
          <w:p w:rsidR="00000000" w:rsidDel="00000000" w:rsidP="00000000" w:rsidRDefault="00000000" w:rsidRPr="00000000" w14:paraId="0000001B">
            <w:pPr>
              <w:ind w:firstLine="593"/>
              <w:rPr>
                <w:rFonts w:ascii="Calibri" w:cs="Calibri" w:eastAsia="Calibri" w:hAnsi="Calibri"/>
                <w:color w:val="0d0d0d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highlight w:val="white"/>
                <w:rtl w:val="0"/>
              </w:rPr>
              <w:t xml:space="preserve">Os serviços a serem realizados incluem a produção de banners de acordo com os tipos, dimensões, quantidades e prazos estabelecidos no quadro de especificações. </w:t>
            </w:r>
          </w:p>
          <w:p w:rsidR="00000000" w:rsidDel="00000000" w:rsidP="00000000" w:rsidRDefault="00000000" w:rsidRPr="00000000" w14:paraId="0000001C">
            <w:pPr>
              <w:ind w:firstLine="593"/>
              <w:rPr>
                <w:rFonts w:ascii="Calibri" w:cs="Calibri" w:eastAsia="Calibri" w:hAnsi="Calibri"/>
                <w:color w:val="0d0d0d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highlight w:val="white"/>
                <w:rtl w:val="0"/>
              </w:rPr>
              <w:t xml:space="preserve">Os modelos de impressões e/ou arquivos digitais serão fornecidos pelo SASG – Setor de Apoio à Serviços Gráficos vinculado ao CMLOG – Coordenadoria de Materiais e Logística. </w:t>
            </w:r>
          </w:p>
          <w:p w:rsidR="00000000" w:rsidDel="00000000" w:rsidP="00000000" w:rsidRDefault="00000000" w:rsidRPr="00000000" w14:paraId="0000001D">
            <w:pPr>
              <w:ind w:firstLine="593"/>
              <w:rPr>
                <w:rFonts w:ascii="Calibri" w:cs="Calibri" w:eastAsia="Calibri" w:hAnsi="Calibri"/>
                <w:color w:val="0d0d0d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highlight w:val="white"/>
                <w:rtl w:val="0"/>
              </w:rPr>
              <w:t xml:space="preserve">A empresa contratada deverá fornecer todo o material necessário, incluindo papel, lonas, adesivos, tintas, bem como a mão de obra para a confecção dos produtos solicitados.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ind w:left="224" w:right="183" w:firstLine="342.92913385826756"/>
              <w:jc w:val="both"/>
              <w:rPr>
                <w:color w:val="0d0d0d"/>
                <w:highlight w:val="white"/>
              </w:rPr>
            </w:pPr>
            <w:r w:rsidDel="00000000" w:rsidR="00000000" w:rsidRPr="00000000">
              <w:rPr>
                <w:color w:val="0d0d0d"/>
                <w:highlight w:val="white"/>
                <w:rtl w:val="0"/>
              </w:rPr>
              <w:t xml:space="preserve">Entregar o material no prazo de 5 dias corridos a partir do envio do e-mail com a solicitação e autorização da impressão  do material.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ind w:left="224" w:right="183" w:firstLine="626.3937007874016"/>
              <w:jc w:val="both"/>
              <w:rPr>
                <w:color w:val="0d0d0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113" w:firstLine="0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Especificação Detalhada do Objeto: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8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59"/>
              <w:gridCol w:w="7359"/>
              <w:gridCol w:w="1484"/>
              <w:tblGridChange w:id="0">
                <w:tblGrid>
                  <w:gridCol w:w="959"/>
                  <w:gridCol w:w="7359"/>
                  <w:gridCol w:w="148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spacing w:line="276" w:lineRule="auto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ITEM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spacing w:line="276" w:lineRule="auto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DESCRIÇÃO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spacing w:line="276" w:lineRule="auto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PREÇO m²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4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Impressão digital em alta definição, 4X0 Cores, em lona fosca e/ou brilho gramatura mínima 360g.</w:t>
                  </w:r>
                </w:p>
                <w:p w:rsidR="00000000" w:rsidDel="00000000" w:rsidP="00000000" w:rsidRDefault="00000000" w:rsidRPr="00000000" w14:paraId="00000029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As dimensões podem variar entre 300mm a 3.000mm largura e 300mm a 3000 altura.</w:t>
                  </w:r>
                </w:p>
                <w:p w:rsidR="00000000" w:rsidDel="00000000" w:rsidP="00000000" w:rsidRDefault="00000000" w:rsidRPr="00000000" w14:paraId="0000002A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A lona impressa poderá ser inteira ou caso necessário para alcançar a medida na altura poderá haver 1 solda resistente para complementação das medidas, em casos acima do 1.500mm.</w:t>
                  </w:r>
                </w:p>
                <w:p w:rsidR="00000000" w:rsidDel="00000000" w:rsidP="00000000" w:rsidRDefault="00000000" w:rsidRPr="00000000" w14:paraId="0000002B">
                  <w:pPr>
                    <w:jc w:val="both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A contratação será por m² (metro quadrado).</w:t>
                  </w:r>
                </w:p>
                <w:p w:rsidR="00000000" w:rsidDel="00000000" w:rsidP="00000000" w:rsidRDefault="00000000" w:rsidRPr="00000000" w14:paraId="0000002C">
                  <w:pPr>
                    <w:jc w:val="both"/>
                    <w:rPr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color w:val="000000"/>
                      <w:u w:val="single"/>
                      <w:rtl w:val="0"/>
                    </w:rPr>
                    <w:t xml:space="preserve">Para o acabamento, este será personalizado de acordo com o tamanho de cada solicitação.</w:t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405" w:right="0" w:hanging="36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Aplicação de ilhós ao redor da lona com distância máxima de 25cm entre cada Ilhós. Além disso, deverá ser incluída uma corda interna na dobra, para proporcionar maior resistência; ou,</w:t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405" w:right="0" w:hanging="36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Aplicação de madeira na parte superior e inferior e cordão na parte superior para pendurar.</w:t>
                  </w:r>
                </w:p>
              </w:tc>
              <w:tc>
                <w:tcPr>
                  <w:shd w:fill="eeece1" w:val="clear"/>
                </w:tcPr>
                <w:p w:rsidR="00000000" w:rsidDel="00000000" w:rsidP="00000000" w:rsidRDefault="00000000" w:rsidRPr="00000000" w14:paraId="0000002F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31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 envio da proposta implica anuência aos termos do Termo de Referência (TR)</w:t>
            </w:r>
            <w:r w:rsidDel="00000000" w:rsidR="00000000" w:rsidRPr="00000000">
              <w:rPr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 preço deve contemplar todos os custos necessários para prestação dos serviços. Se houver divergência entre preço unitário e total, prevalecerá o resultado da multiplicação do preço unitário com duas casas decimais, pela quantidade.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PREENCHIMENTO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OBRIGATÓRIO</w:t>
      </w:r>
    </w:p>
    <w:tbl>
      <w:tblPr>
        <w:tblStyle w:val="Table5"/>
        <w:tblW w:w="9892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9892"/>
        <w:tblGridChange w:id="0">
          <w:tblGrid>
            <w:gridCol w:w="98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VALIDADE DA PROPOSTA E PRAZO DE ENTREGA</w:t>
            </w:r>
          </w:p>
          <w:tbl>
            <w:tblPr>
              <w:tblStyle w:val="Table6"/>
              <w:tblW w:w="9653.0" w:type="dxa"/>
              <w:jc w:val="left"/>
              <w:tblLayout w:type="fixed"/>
              <w:tblLook w:val="0000"/>
            </w:tblPr>
            <w:tblGrid>
              <w:gridCol w:w="9653"/>
              <w:tblGridChange w:id="0">
                <w:tblGrid>
                  <w:gridCol w:w="965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eece1" w:val="clear"/>
                  <w:tcMar>
                    <w:top w:w="0.0" w:type="dxa"/>
                    <w:left w:w="110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40" w:line="360" w:lineRule="auto"/>
                    <w:ind w:left="0" w:right="175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Validade da Proposta: __________ dias corridos. 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eece1" w:val="clear"/>
                  <w:tcMar>
                    <w:top w:w="0.0" w:type="dxa"/>
                    <w:left w:w="110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40" w:line="360" w:lineRule="auto"/>
                    <w:ind w:left="0" w:right="175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Prazo para a Execução dos Serviços: _________ dias corridos.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eece1" w:val="clear"/>
                  <w:tcMar>
                    <w:top w:w="0.0" w:type="dxa"/>
                    <w:left w:w="110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40" w:line="360" w:lineRule="auto"/>
                    <w:ind w:left="0" w:right="175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GARANTIA DO SERVIÇO E PEÇAS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_________________________________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INFORMAÇÕES COMPLEMENTARES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Informações complementares poderão ser obtidas junto ao Setor de Apoio a Serviços Gráficos (SASG), com o servidor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Hamilton, Fone (48) 3216-4152 e/ou 99153-8369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pelo e-mail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sasg@trt12.jus.br</w:t>
            </w:r>
          </w:p>
          <w:p w:rsidR="00000000" w:rsidDel="00000000" w:rsidP="00000000" w:rsidRDefault="00000000" w:rsidRPr="00000000" w14:paraId="0000003F">
            <w:pPr>
              <w:ind w:right="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DEVOLUÇÃO DO ORÇAMENTO</w:t>
            </w:r>
          </w:p>
          <w:p w:rsidR="00000000" w:rsidDel="00000000" w:rsidP="00000000" w:rsidRDefault="00000000" w:rsidRPr="00000000" w14:paraId="00000041">
            <w:pPr>
              <w:ind w:right="18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Orçamento preenchido deve ser devolvido para o e-mail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sasg@gmail.com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DADOS DO RESPONSÁVEL PELA ELABORAÇÃO DO ORÇAMENTO</w:t>
            </w:r>
          </w:p>
          <w:tbl>
            <w:tblPr>
              <w:tblStyle w:val="Table7"/>
              <w:tblW w:w="9653.0" w:type="dxa"/>
              <w:jc w:val="left"/>
              <w:tblLayout w:type="fixed"/>
              <w:tblLook w:val="0000"/>
            </w:tblPr>
            <w:tblGrid>
              <w:gridCol w:w="9653"/>
              <w:tblGridChange w:id="0">
                <w:tblGrid>
                  <w:gridCol w:w="965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eece1" w:val="clear"/>
                  <w:tcMar>
                    <w:top w:w="0.0" w:type="dxa"/>
                    <w:left w:w="110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600" w:lineRule="auto"/>
                    <w:ind w:left="0" w:right="18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Nome do responsável pela elaboração do Orçamento: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eece1" w:val="clear"/>
                  <w:tcMar>
                    <w:top w:w="0.0" w:type="dxa"/>
                    <w:left w:w="110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18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CPF:</w:t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CIDADE E DATA</w:t>
            </w:r>
          </w:p>
          <w:tbl>
            <w:tblPr>
              <w:tblStyle w:val="Table8"/>
              <w:tblW w:w="9648.0" w:type="dxa"/>
              <w:jc w:val="left"/>
              <w:tblLayout w:type="fixed"/>
              <w:tblLook w:val="0000"/>
            </w:tblPr>
            <w:tblGrid>
              <w:gridCol w:w="4904"/>
              <w:gridCol w:w="4744"/>
              <w:tblGridChange w:id="0">
                <w:tblGrid>
                  <w:gridCol w:w="4904"/>
                  <w:gridCol w:w="474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eeece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480" w:lineRule="auto"/>
                    <w:ind w:left="0" w:right="18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Cidade: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eeece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480" w:lineRule="auto"/>
                    <w:ind w:left="0" w:right="18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Data:</w:t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CONDIÇÕES GERAIS: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Divulgação da nota de empenho:</w:t>
      </w:r>
    </w:p>
    <w:tbl>
      <w:tblPr>
        <w:tblStyle w:val="Table9"/>
        <w:tblW w:w="9720.0" w:type="dxa"/>
        <w:jc w:val="left"/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Nota de Empenho será enviada para o e-mail informado pela empresa neste Orçamento, além de ser disponibilizada na Internet no site deste Tribunal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8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https://portal.trt12.jus.br/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 objeto deverá ser entregue após a emissão da nota de empenho, dentro do prazo de entrega estipulado.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2 - Penalidades:</w:t>
      </w:r>
    </w:p>
    <w:tbl>
      <w:tblPr>
        <w:tblStyle w:val="Table10"/>
        <w:tblW w:w="9720.0" w:type="dxa"/>
        <w:jc w:val="left"/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3 - Condições de Pagamento:</w:t>
      </w:r>
    </w:p>
    <w:tbl>
      <w:tblPr>
        <w:tblStyle w:val="Table11"/>
        <w:tblW w:w="9690.0" w:type="dxa"/>
        <w:jc w:val="left"/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4 - Documentação exigível:</w:t>
      </w:r>
    </w:p>
    <w:tbl>
      <w:tblPr>
        <w:tblStyle w:val="Table12"/>
        <w:tblW w:w="9840.0" w:type="dxa"/>
        <w:jc w:val="left"/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empresa deve estar em situação de regularidade fiscal e trabalhista: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Certidão Negativa do FGTS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https://consulta-crf.caixa.gov.br/consultacrf/pages/consultaEmpregador.jsf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Certidão de Débitos Relativos a Créditos Tributários Federais e à Dívida Ativa da União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http://www.receita.fazenda.gov.br/Aplicacoes/ATSPO/Certidao/CndConjuntaInter/InformaNiCertidao.asp?tipo=1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Certidão Negativa de Débitos Trabalhistas - CNDT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http://www.tst.jus.br/certidao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Portal da Transparência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http://www.transparencia.gov.br/sancoes/ceis?ordenarPor=nome&amp;direcao=asc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5 - Fornecedor Pessoa Física</w:t>
      </w:r>
    </w:p>
    <w:tbl>
      <w:tblPr>
        <w:tblStyle w:val="Table13"/>
        <w:tblW w:w="9750.0" w:type="dxa"/>
        <w:jc w:val="left"/>
        <w:tblLayout w:type="fixed"/>
        <w:tblLook w:val="00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Caso o fornecedor seja PESSOA FÍSICA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deve preencher o cadastro para validação no e-Social do Governo Federal. Preencha o formulário e encaminhe junto com o orçamento. Obtenha o FORMULÁRIO no link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8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http://www.trt12.jus.br/portal/areas/secod/extranet/documentos/Cad_PF_e-social.doc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– LGPD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tratamento dos dados coletados no presente orçamento está em integral conformidade com a Lei nº 13.709/2019 (Lei Geral de Proteção de Dados -LGPD).</w:t>
      </w:r>
    </w:p>
    <w:p w:rsidR="00000000" w:rsidDel="00000000" w:rsidP="00000000" w:rsidRDefault="00000000" w:rsidRPr="00000000" w14:paraId="0000006B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Table14"/>
        <w:tblW w:w="992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22"/>
        <w:tblGridChange w:id="0">
          <w:tblGrid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b) é de exclusiva responsabilidade da Contratada as ações indicadas na alínea anterior não cabendo ao Contratante qualquer responsabilidade pela falta de juntada ao sistema no prazo;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c) eventuais dúvidas poderão ser dirimidas junto à Secretaria de Orçamento e Finanças por meio do email seof@trt12.jus.br ou telefone (48) 3216-4059.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Acesso ao SIGEO-JT e orientações: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https://portal.trt12.jus.br/licitacoes-e-contratos/informacoes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https://sigeo.jt.jus.br/ajuda/kb/primeiro-acesso/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417" w:top="1417" w:left="851" w:right="1133" w:header="56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89704" cy="602010"/>
          <wp:effectExtent b="0" l="0" r="0" t="0"/>
          <wp:docPr descr="C:\Users\Hamilton\AppData\Local\Microsoft\Windows\INetCache\Content.Word\Brasão.png" id="2" name="image1.png"/>
          <a:graphic>
            <a:graphicData uri="http://schemas.openxmlformats.org/drawingml/2006/picture">
              <pic:pic>
                <pic:nvPicPr>
                  <pic:cNvPr descr="C:\Users\Hamilton\AppData\Local\Microsoft\Windows\INetCache\Content.Word\Brasã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9704" cy="602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4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9C2EC0"/>
    <w:pPr>
      <w:spacing w:after="160" w:line="259" w:lineRule="auto"/>
    </w:pPr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9C2EC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C2EC0"/>
  </w:style>
  <w:style w:type="paragraph" w:styleId="Rodap">
    <w:name w:val="footer"/>
    <w:basedOn w:val="Normal"/>
    <w:link w:val="RodapChar"/>
    <w:uiPriority w:val="99"/>
    <w:unhideWhenUsed w:val="1"/>
    <w:rsid w:val="009C2EC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C2EC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C2EC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C2EC0"/>
    <w:rPr>
      <w:rFonts w:ascii="Tahoma" w:cs="Tahoma" w:hAnsi="Tahoma"/>
      <w:sz w:val="16"/>
      <w:szCs w:val="16"/>
    </w:rPr>
  </w:style>
  <w:style w:type="paragraph" w:styleId="Standard" w:customStyle="1">
    <w:name w:val="Standard"/>
    <w:rsid w:val="009C2EC0"/>
    <w:pPr>
      <w:widowControl w:val="0"/>
      <w:suppressAutoHyphens w:val="1"/>
      <w:autoSpaceDN w:val="0"/>
      <w:spacing w:after="0"/>
      <w:textAlignment w:val="baseline"/>
    </w:pPr>
    <w:rPr>
      <w:rFonts w:ascii="Arial" w:cs="Arial" w:eastAsia="Arial" w:hAnsi="Arial"/>
      <w:lang w:bidi="hi-IN" w:eastAsia="zh-CN"/>
    </w:rPr>
  </w:style>
  <w:style w:type="table" w:styleId="Tabelacomgrade">
    <w:name w:val="Table Grid"/>
    <w:basedOn w:val="Tabelanormal"/>
    <w:uiPriority w:val="59"/>
    <w:rsid w:val="009C2EC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WWNum1" w:customStyle="1">
    <w:name w:val="WWNum1"/>
    <w:basedOn w:val="Semlista"/>
    <w:rsid w:val="009C2EC0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 w:val="1"/>
    <w:rsid w:val="003901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29210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8339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igeo.jt.jus.br/ajuda/kb/primeiro-acesso/" TargetMode="External"/><Relationship Id="rId10" Type="http://schemas.openxmlformats.org/officeDocument/2006/relationships/hyperlink" Target="https://portal.trt12.jus.br/licitacoes-e-contratos/informacoes" TargetMode="External"/><Relationship Id="rId12" Type="http://schemas.openxmlformats.org/officeDocument/2006/relationships/header" Target="header1.xml"/><Relationship Id="rId9" Type="http://schemas.openxmlformats.org/officeDocument/2006/relationships/hyperlink" Target="http://www.trt12.jus.br/portal/areas/secod/extranet/documentos/Cad_PF_e-social.do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sg@gmail.com" TargetMode="External"/><Relationship Id="rId8" Type="http://schemas.openxmlformats.org/officeDocument/2006/relationships/hyperlink" Target="https://portal.trt12.jus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iUToNK8Ui3dpW9S1U49itEyKQ==">CgMxLjAyCGguZ2pkZ3hzOABqJwoUc3VnZ2VzdC5qNXgxOTNocGlzbjISD0xpbGlhbmEgQmFycmV0b3IhMWk2OG5hZEhZS2xieTFBZURCYWZCQm13aTlJeWZaUUpn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2022-08-24T18:12:00Z</dcterms:created>
  <dc:creator>Hamilton</dc:creator>
</cp:coreProperties>
</file>