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Tribunal Regional do Trabalho da 12ª Região</w:t>
      </w:r>
    </w:p>
    <w:p>
      <w:pPr>
        <w:pStyle w:val="Normal1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spacing w:lineRule="auto" w:line="240"/>
        <w:jc w:val="center"/>
        <w:rPr>
          <w:b/>
          <w:b/>
          <w:color w:val="6AA84F"/>
          <w:sz w:val="32"/>
          <w:szCs w:val="32"/>
          <w:u w:val="single"/>
        </w:rPr>
      </w:pPr>
      <w:r>
        <w:rPr>
          <w:b/>
          <w:color w:val="6AA84F"/>
          <w:sz w:val="32"/>
          <w:szCs w:val="32"/>
          <w:u w:val="single"/>
        </w:rPr>
        <w:t>ORÇAMENTO - AQUISIÇÃO</w:t>
      </w:r>
    </w:p>
    <w:p>
      <w:pPr>
        <w:pStyle w:val="Normal1"/>
        <w:spacing w:lineRule="auto" w:line="240"/>
        <w:jc w:val="center"/>
        <w:rPr>
          <w:i/>
          <w:i/>
          <w:color w:val="6AA84F"/>
          <w:sz w:val="20"/>
          <w:szCs w:val="20"/>
          <w:u w:val="single"/>
        </w:rPr>
      </w:pPr>
      <w:r>
        <w:rPr>
          <w:i/>
          <w:color w:val="6AA84F"/>
          <w:sz w:val="20"/>
          <w:szCs w:val="20"/>
          <w:u w:val="single"/>
        </w:rPr>
        <w:t>(</w:t>
      </w:r>
    </w:p>
    <w:p>
      <w:pPr>
        <w:pStyle w:val="Normal1"/>
        <w:spacing w:lineRule="auto" w:line="240"/>
        <w:jc w:val="center"/>
        <w:rPr>
          <w:i/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</w:r>
    </w:p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>
      <w:pPr>
        <w:pStyle w:val="Normal1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"/>
        <w:tblW w:w="10035" w:type="dxa"/>
        <w:jc w:val="left"/>
        <w:tblInd w:w="-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97"/>
        <w:gridCol w:w="4937"/>
      </w:tblGrid>
      <w:tr>
        <w:trPr/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Razão Social: </w:t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CNPJ: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) sim     (  ) não</w:t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Fone: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</w:tc>
      </w:tr>
      <w:tr>
        <w:trPr/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Endereço: </w:t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Cidade/UF: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CEP: </w:t>
            </w:r>
          </w:p>
        </w:tc>
      </w:tr>
    </w:tbl>
    <w:p>
      <w:pPr>
        <w:pStyle w:val="Normal1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  <w:tab/>
      </w:r>
    </w:p>
    <w:p>
      <w:pPr>
        <w:pStyle w:val="Normal1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2"/>
        <w:tblW w:w="5100" w:type="dxa"/>
        <w:jc w:val="left"/>
        <w:tblInd w:w="-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00"/>
      </w:tblGrid>
      <w:tr>
        <w:trPr/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Banco: 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Agência: 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C/C: </w:t>
            </w:r>
          </w:p>
        </w:tc>
      </w:tr>
    </w:tbl>
    <w:p>
      <w:pPr>
        <w:pStyle w:val="Normal1"/>
        <w:numPr>
          <w:ilvl w:val="0"/>
          <w:numId w:val="1"/>
        </w:numPr>
        <w:spacing w:lineRule="auto" w:line="240"/>
        <w:ind w:left="720" w:right="0" w:hanging="360"/>
        <w:jc w:val="both"/>
        <w:rPr>
          <w:i/>
          <w:i/>
        </w:rPr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</w:p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3"/>
        <w:tblW w:w="10425" w:type="dxa"/>
        <w:jc w:val="left"/>
        <w:tblInd w:w="-3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99"/>
        <w:gridCol w:w="3665"/>
        <w:gridCol w:w="1020"/>
        <w:gridCol w:w="1185"/>
        <w:gridCol w:w="855"/>
        <w:gridCol w:w="796"/>
        <w:gridCol w:w="1019"/>
        <w:gridCol w:w="1184"/>
      </w:tblGrid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i/>
                <w:i/>
                <w:color w:val="4A86E8"/>
                <w:sz w:val="18"/>
                <w:szCs w:val="18"/>
              </w:rPr>
            </w:pPr>
            <w:r>
              <w:rPr>
                <w:i/>
                <w:color w:val="4A86E8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Marca/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Prazo de Garantia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Total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Grama esmeralda COLOCADA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128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m²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Adubo orgânico 20kg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bolsa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Calcário 50kg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bolsa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Carga de terra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carga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  <w:t>TOTAL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</w:tr>
    </w:tbl>
    <w:p>
      <w:pPr>
        <w:pStyle w:val="Normal1"/>
        <w:numPr>
          <w:ilvl w:val="0"/>
          <w:numId w:val="1"/>
        </w:numPr>
        <w:spacing w:lineRule="auto" w:line="240"/>
        <w:ind w:left="720" w:right="0" w:hanging="360"/>
        <w:jc w:val="both"/>
        <w:rPr/>
      </w:pPr>
      <w:r>
        <w:rPr>
          <w:b/>
          <w:i/>
        </w:rPr>
        <w:t>O envio da proposta implica anuência aos termos do Termo de Referência (TR)</w:t>
      </w:r>
      <w:r>
        <w:rPr>
          <w:i/>
        </w:rPr>
        <w:t>.</w:t>
      </w:r>
    </w:p>
    <w:p>
      <w:pPr>
        <w:pStyle w:val="Normal1"/>
        <w:numPr>
          <w:ilvl w:val="0"/>
          <w:numId w:val="1"/>
        </w:numPr>
        <w:spacing w:lineRule="auto" w:line="240"/>
        <w:ind w:left="720" w:right="0" w:hanging="360"/>
        <w:jc w:val="both"/>
        <w:rPr>
          <w:i/>
          <w:i/>
        </w:rPr>
      </w:pPr>
      <w:r>
        <w:rPr>
          <w:i/>
        </w:rPr>
        <w:t>O preço deve contemplar todos os custos necessários para entrega do objeto no Almoxarifado do Tribunal, salvo indicação de local diverso. Se houver divergência entre preço unitário e total, prevalecerá o resultado da multiplicação do preço unitário com duas casas decimais, pela quantidade.</w:t>
      </w:r>
    </w:p>
    <w:p>
      <w:pPr>
        <w:pStyle w:val="Normal1"/>
        <w:spacing w:lineRule="auto" w:line="240"/>
        <w:jc w:val="both"/>
        <w:rPr>
          <w:i/>
          <w:i/>
        </w:rPr>
      </w:pPr>
      <w:r>
        <w:rPr>
          <w:i/>
        </w:rPr>
      </w:r>
    </w:p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>
      <w:pPr>
        <w:pStyle w:val="Normal1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4"/>
        <w:tblW w:w="10095" w:type="dxa"/>
        <w:jc w:val="left"/>
        <w:tblInd w:w="-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95"/>
      </w:tblGrid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Validade da Proposta: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60(sessenta) dias corridos.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Prazo de Entrega: 30 (trinta) dias corridos, </w:t>
            </w:r>
            <w:r>
              <w:rPr/>
              <w:t xml:space="preserve">após a comunicação acerca da publicação da nota de empenho.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>
      <w:pPr>
        <w:pStyle w:val="Normal1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Informações complementares poderão ser obtidas junto à (área/Setor) Vara do Trabalho de Concórdia, com a servidora Mariana Fone 49-99102-6292</w:t>
      </w:r>
    </w:p>
    <w:p>
      <w:pPr>
        <w:pStyle w:val="Normal1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E-mail: vara_cda@trt12.jus.br</w:t>
      </w:r>
    </w:p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Orçamento preenchido deve ser devolvido para o e-mail: csg@trt12.jus.br </w:t>
      </w:r>
    </w:p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DO RESPONSÁVEL PELA ELABORAÇÃO DO ORÇAMENTO</w:t>
      </w:r>
    </w:p>
    <w:p>
      <w:pPr>
        <w:pStyle w:val="Normal1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5"/>
        <w:tblW w:w="9855" w:type="dxa"/>
        <w:jc w:val="left"/>
        <w:tblInd w:w="-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5"/>
      </w:tblGrid>
      <w:tr>
        <w:trPr/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do responsável pela elaboração do Orçamento: </w:t>
            </w:r>
          </w:p>
        </w:tc>
      </w:tr>
      <w:tr>
        <w:trPr/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CPF: </w:t>
            </w:r>
          </w:p>
        </w:tc>
      </w:tr>
    </w:tbl>
    <w:p>
      <w:pPr>
        <w:pStyle w:val="Normal1"/>
        <w:spacing w:lineRule="auto" w:line="24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1"/>
        <w:spacing w:lineRule="auto" w:line="240"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Table6"/>
        <w:tblW w:w="9765" w:type="dxa"/>
        <w:jc w:val="left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03"/>
        <w:gridCol w:w="4861"/>
      </w:tblGrid>
      <w:tr>
        <w:trPr/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Cidade: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Data: </w:t>
            </w:r>
          </w:p>
        </w:tc>
      </w:tr>
    </w:tbl>
    <w:p>
      <w:pPr>
        <w:pStyle w:val="Normal1"/>
        <w:spacing w:lineRule="auto" w:line="240" w:before="0" w:after="120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1"/>
        <w:spacing w:lineRule="auto" w:line="240" w:before="0" w:after="120"/>
        <w:jc w:val="both"/>
        <w:rPr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>
      <w:pPr>
        <w:pStyle w:val="Normal1"/>
        <w:spacing w:lineRule="auto" w:line="240" w:before="0" w:after="12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1"/>
        <w:spacing w:lineRule="auto" w:line="240" w:before="0" w:after="120"/>
        <w:jc w:val="both"/>
        <w:rPr>
          <w:b/>
          <w:b/>
          <w:i/>
          <w:i/>
        </w:rPr>
      </w:pPr>
      <w:r>
        <w:rPr>
          <w:b/>
          <w:i/>
        </w:rPr>
        <w:t>1- Divulgação da nota de empenho:</w:t>
      </w:r>
    </w:p>
    <w:tbl>
      <w:tblPr>
        <w:tblStyle w:val="Table7"/>
        <w:tblW w:w="9720" w:type="dxa"/>
        <w:jc w:val="left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120"/>
              <w:jc w:val="both"/>
              <w:rPr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2">
              <w:r>
                <w:rPr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>
      <w:pPr>
        <w:pStyle w:val="Normal1"/>
        <w:spacing w:lineRule="auto" w:line="240" w:before="0" w:after="12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1"/>
        <w:spacing w:lineRule="auto" w:line="240" w:before="0" w:after="120"/>
        <w:jc w:val="both"/>
        <w:rPr>
          <w:b/>
          <w:b/>
          <w:i/>
          <w:i/>
        </w:rPr>
      </w:pPr>
      <w:r>
        <w:rPr>
          <w:b/>
          <w:i/>
        </w:rPr>
        <w:t>2 - Penalidades:</w:t>
      </w:r>
    </w:p>
    <w:tbl>
      <w:tblPr>
        <w:tblStyle w:val="Table8"/>
        <w:tblW w:w="9720" w:type="dxa"/>
        <w:jc w:val="left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120"/>
              <w:jc w:val="both"/>
              <w:rPr>
                <w:i/>
                <w:i/>
              </w:rPr>
            </w:pPr>
            <w:r>
              <w:rPr>
                <w:i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</w:p>
        </w:tc>
      </w:tr>
    </w:tbl>
    <w:p>
      <w:pPr>
        <w:pStyle w:val="Normal1"/>
        <w:spacing w:lineRule="auto" w:line="240" w:before="0" w:after="12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1"/>
        <w:spacing w:lineRule="auto" w:line="240" w:before="0" w:after="120"/>
        <w:jc w:val="both"/>
        <w:rPr>
          <w:b/>
          <w:b/>
          <w:i/>
          <w:i/>
        </w:rPr>
      </w:pPr>
      <w:r>
        <w:rPr>
          <w:b/>
          <w:i/>
        </w:rPr>
        <w:t>3 - Condições de Pagamento:</w:t>
      </w:r>
    </w:p>
    <w:tbl>
      <w:tblPr>
        <w:tblStyle w:val="Table9"/>
        <w:tblW w:w="9690" w:type="dxa"/>
        <w:jc w:val="left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90"/>
      </w:tblGrid>
      <w:tr>
        <w:trPr/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120"/>
              <w:jc w:val="both"/>
              <w:rPr>
                <w:i/>
                <w:i/>
              </w:rPr>
            </w:pPr>
            <w:r>
              <w:rPr>
                <w:i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>
      <w:pPr>
        <w:pStyle w:val="Normal1"/>
        <w:spacing w:lineRule="auto" w:line="240" w:before="0" w:after="12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1"/>
        <w:spacing w:lineRule="auto" w:line="240" w:before="0" w:after="120"/>
        <w:jc w:val="both"/>
        <w:rPr>
          <w:b/>
          <w:b/>
          <w:i/>
          <w:i/>
          <w:highlight w:val="yellow"/>
        </w:rPr>
      </w:pPr>
      <w:r>
        <w:rPr>
          <w:b/>
          <w:i/>
          <w:highlight w:val="yellow"/>
        </w:rPr>
        <w:t>4 - Documentação exigível:</w:t>
      </w:r>
    </w:p>
    <w:tbl>
      <w:tblPr>
        <w:tblStyle w:val="Table10"/>
        <w:tblW w:w="9840" w:type="dxa"/>
        <w:jc w:val="left"/>
        <w:tblInd w:w="-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40"/>
      </w:tblGrid>
      <w:tr>
        <w:trPr/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120"/>
              <w:jc w:val="both"/>
              <w:rPr>
                <w:i/>
                <w:i/>
              </w:rPr>
            </w:pPr>
            <w:r>
              <w:rPr>
                <w:i/>
              </w:rPr>
              <w:t>A empresa deve estar em situação de regularidade fiscal e trabalhista:</w:t>
            </w:r>
          </w:p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Negativa do FGTS</w:t>
            </w:r>
          </w:p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hyperlink r:id="rId3">
              <w:r>
                <w:rPr>
                  <w:i/>
                  <w:color w:val="000080"/>
                  <w:u w:val="single"/>
                </w:rPr>
                <w:t>https://consulta-crf.caixa.gov.br/consultacrf/pages/consultaEmpregador.jsf</w:t>
              </w:r>
            </w:hyperlink>
          </w:p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hyperlink r:id="rId4">
              <w:r>
                <w:rPr>
                  <w:i/>
                  <w:color w:val="000080"/>
                  <w:u w:val="single"/>
                </w:rPr>
                <w:t>http://www.receita.fazenda.gov.br/Aplicacoes/ATSPO/Certidao/CndConjuntaInter/InformaNiCertidao.asp?tipo=1</w:t>
              </w:r>
            </w:hyperlink>
          </w:p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hyperlink r:id="rId5">
              <w:r>
                <w:rPr>
                  <w:i/>
                  <w:color w:val="000080"/>
                  <w:u w:val="single"/>
                </w:rPr>
                <w:t>http://www.tst.jus.br/certidao</w:t>
              </w:r>
            </w:hyperlink>
          </w:p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  <w:t>Portal da Transparência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hyperlink r:id="rId6">
              <w:r>
                <w:rPr>
                  <w:i/>
                  <w:color w:val="1155CC"/>
                  <w:u w:val="single"/>
                </w:rPr>
                <w:t>http://www.transparencia.gov.br/sancoes/ceis?ordenarPor=nome&amp;direcao=asc</w:t>
              </w:r>
            </w:hyperlink>
          </w:p>
          <w:p>
            <w:pPr>
              <w:pStyle w:val="Normal1"/>
              <w:widowControl w:val="false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No caso de haver contrato, deverá constar o nome de quem assinará o contrato, CPF e contrato social/procuração.</w:t>
            </w:r>
          </w:p>
        </w:tc>
      </w:tr>
    </w:tbl>
    <w:p>
      <w:pPr>
        <w:pStyle w:val="Normal1"/>
        <w:spacing w:lineRule="auto" w:line="240" w:before="0" w:after="12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1"/>
        <w:spacing w:lineRule="auto" w:line="240" w:before="0" w:after="12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1"/>
        <w:spacing w:lineRule="auto" w:line="240" w:before="0" w:after="120"/>
        <w:jc w:val="both"/>
        <w:rPr>
          <w:b/>
          <w:b/>
          <w:i/>
          <w:i/>
        </w:rPr>
      </w:pPr>
      <w:r>
        <w:rPr>
          <w:b/>
          <w:i/>
        </w:rPr>
        <w:t>5 - Fornecedor Pessoa Física</w:t>
      </w:r>
    </w:p>
    <w:tbl>
      <w:tblPr>
        <w:tblStyle w:val="Table11"/>
        <w:tblW w:w="9902" w:type="dxa"/>
        <w:jc w:val="left"/>
        <w:tblInd w:w="-3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02"/>
      </w:tblGrid>
      <w:tr>
        <w:trPr/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120"/>
              <w:jc w:val="both"/>
              <w:rPr/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 </w:t>
            </w:r>
            <w:hyperlink r:id="rId7">
              <w:r>
                <w:rPr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>
      <w:pPr>
        <w:pStyle w:val="Normal1"/>
        <w:rPr>
          <w:b/>
          <w:b/>
          <w:i/>
          <w:i/>
        </w:rPr>
      </w:pPr>
      <w:r>
        <w:rPr>
          <w:b/>
          <w:i/>
        </w:rPr>
      </w:r>
    </w:p>
    <w:p>
      <w:pPr>
        <w:pStyle w:val="Normal1"/>
        <w:rPr>
          <w:b/>
          <w:b/>
          <w:i/>
          <w:i/>
        </w:rPr>
      </w:pPr>
      <w:r>
        <w:rPr>
          <w:b/>
          <w:i/>
        </w:rPr>
        <w:t>6 – LGPD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/>
          <w:highlight w:val="white"/>
        </w:rPr>
      </w:pPr>
      <w:r>
        <w:rPr>
          <w:i/>
          <w:highlight w:val="white"/>
        </w:rPr>
        <w:t>O tratamento dos dados coletados no presente orçamento está em integral conformidade com a Lei nº 13.709/2019 (Lei Geral de Proteção de Dados - LGPD).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Table12"/>
        <w:tblW w:w="9638" w:type="dxa"/>
        <w:jc w:val="left"/>
        <w:tblInd w:w="-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a gestão de seus dados e a juntada por meio do referido Sistema dos documentos de cobrança/documentos fiscais (notas fiscais/faturas); 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c) eventuais dúvidas poderão ser dirimidas junto à Secretaria de Orçamento e Finanças por meio do email seof@trt12.jus.br ou telefone (48) 3216-4059.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Acesso ao SIGEO-JT e orientações: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/>
            </w:pPr>
            <w:hyperlink r:id="rId8">
              <w:r>
                <w:rPr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>
            <w:pPr>
              <w:pStyle w:val="Normal1"/>
              <w:widowControl w:val="false"/>
              <w:spacing w:lineRule="auto" w:line="240"/>
              <w:jc w:val="both"/>
              <w:rPr/>
            </w:pPr>
            <w:hyperlink r:id="rId9">
              <w:r>
                <w:rPr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>
            <w:pPr>
              <w:pStyle w:val="Normal1"/>
              <w:widowControl w:val="false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1"/>
        <w:spacing w:lineRule="auto" w:line="240"/>
        <w:jc w:val="both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Carimbo e assinatura</w:t>
      </w:r>
    </w:p>
    <w:sectPr>
      <w:footerReference w:type="default" r:id="rId10"/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t>Versão 2.4</w:t>
    </w:r>
  </w:p>
  <w:p>
    <w:pPr>
      <w:pStyle w:val="Normal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80" w:after="8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2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ortal.trt12.jus.br/" TargetMode="External"/><Relationship Id="rId3" Type="http://schemas.openxmlformats.org/officeDocument/2006/relationships/hyperlink" Target="https://consulta-crf.caixa.gov.br/consultacrf/pages/consultaEmpregador.jsf" TargetMode="External"/><Relationship Id="rId4" Type="http://schemas.openxmlformats.org/officeDocument/2006/relationships/hyperlink" Target="http://www.receita.fazenda.gov.br/Aplicacoes/ATSPO/Certidao/CndConjuntaInter/InformaNiCertidao.asp?tipo=1" TargetMode="External"/><Relationship Id="rId5" Type="http://schemas.openxmlformats.org/officeDocument/2006/relationships/hyperlink" Target="http://www.tst.jus.br/certidao" TargetMode="External"/><Relationship Id="rId6" Type="http://schemas.openxmlformats.org/officeDocument/2006/relationships/hyperlink" Target="http://www.transparencia.gov.br/sancoes/ceis?ordenarPor=nome&amp;direcao=asc" TargetMode="External"/><Relationship Id="rId7" Type="http://schemas.openxmlformats.org/officeDocument/2006/relationships/hyperlink" Target="http://www.trt12.jus.br/portal/areas/secod/extranet/documentos/Cad_PF_e-social.doc" TargetMode="External"/><Relationship Id="rId8" Type="http://schemas.openxmlformats.org/officeDocument/2006/relationships/hyperlink" Target="https://portal.trt12.jus.br/licitacoes-e-contratos/informacoes" TargetMode="External"/><Relationship Id="rId9" Type="http://schemas.openxmlformats.org/officeDocument/2006/relationships/hyperlink" Target="https://sigeo.jt.jus.br/ajuda/kb/primeiro-acesso/" TargetMode="Externa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3</Pages>
  <Words>683</Words>
  <Characters>4204</Characters>
  <CharactersWithSpaces>4824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