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jc w:val="center"/>
        <w:rPr/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Tribunal Regional do Trabalho da 12ª Região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jc w:val="center"/>
        <w:rPr>
          <w:b w:val="1"/>
          <w:bCs w:val="1"/>
          <w:color w:val="6aa84f"/>
          <w:sz w:val="32"/>
          <w:szCs w:val="32"/>
          <w:u w:val="single"/>
        </w:rPr>
      </w:pPr>
      <w:r w:rsidDel="00000000" w:rsidR="00000000" w:rsidRPr="00000000">
        <w:rPr>
          <w:b w:val="1"/>
          <w:bCs w:val="1"/>
          <w:color w:val="6aa84f"/>
          <w:sz w:val="32"/>
          <w:szCs w:val="32"/>
          <w:u w:val="single"/>
          <w:rtl w:val="0"/>
        </w:rPr>
        <w:t xml:space="preserve">ORÇAMENTO - SERVIÇO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jc w:val="center"/>
        <w:rPr>
          <w:i w:val="1"/>
          <w:i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DADOS DA PROPONENTE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35.0" w:type="dxa"/>
        <w:jc w:val="left"/>
        <w:tblInd w:w="-10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099"/>
        <w:gridCol w:w="4936"/>
        <w:tblGridChange w:id="0">
          <w:tblGrid>
            <w:gridCol w:w="5099"/>
            <w:gridCol w:w="4936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Razão Social: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CNPJ: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ME/EPP     (   ) sim     (  ) não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Fone: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E-mail: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Endereço: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Cidade/UF: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CEP:</w:t>
            </w:r>
          </w:p>
        </w:tc>
      </w:tr>
    </w:tbl>
    <w:p w:rsidR="00000000" w:rsidDel="00000000" w:rsidP="00000000" w:rsidRDefault="00000000" w:rsidRPr="00000000" w14:paraId="00000012">
      <w:pPr>
        <w:widowControl w:val="0"/>
        <w:spacing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DADOS BANCÁRIOS DA PROPONENTE</w:t>
      </w:r>
    </w:p>
    <w:p w:rsidR="00000000" w:rsidDel="00000000" w:rsidP="00000000" w:rsidRDefault="00000000" w:rsidRPr="00000000" w14:paraId="00000014">
      <w:pPr>
        <w:widowControl w:val="0"/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5100.0" w:type="dxa"/>
        <w:jc w:val="left"/>
        <w:tblInd w:w="-10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00"/>
        <w:tblGridChange w:id="0">
          <w:tblGrid>
            <w:gridCol w:w="51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Banco: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Agência: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C/C:</w:t>
            </w:r>
          </w:p>
        </w:tc>
      </w:tr>
    </w:tbl>
    <w:p w:rsidR="00000000" w:rsidDel="00000000" w:rsidP="00000000" w:rsidRDefault="00000000" w:rsidRPr="00000000" w14:paraId="00000018">
      <w:pPr>
        <w:widowControl w:val="0"/>
        <w:numPr>
          <w:ilvl w:val="0"/>
          <w:numId w:val="1"/>
        </w:numPr>
        <w:spacing w:line="240" w:lineRule="auto"/>
        <w:ind w:left="720" w:hanging="360"/>
      </w:pPr>
      <w:r w:rsidDel="00000000" w:rsidR="00000000" w:rsidRPr="00000000">
        <w:rPr>
          <w:i w:val="1"/>
          <w:iCs w:val="1"/>
          <w:rtl w:val="0"/>
        </w:rPr>
        <w:t xml:space="preserve">Os dados bancários acima indicados deverão ser, necessariamente, os da proponente. Não serão realizados pagamentos em conta bancária de terceiros, de titularidade diferente.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ab/>
        <w:tab/>
        <w:tab/>
        <w:tab/>
      </w:r>
    </w:p>
    <w:p w:rsidR="00000000" w:rsidDel="00000000" w:rsidP="00000000" w:rsidRDefault="00000000" w:rsidRPr="00000000" w14:paraId="00000019">
      <w:pPr>
        <w:widowControl w:val="0"/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OBJETO</w:t>
      </w:r>
    </w:p>
    <w:p w:rsidR="00000000" w:rsidDel="00000000" w:rsidP="00000000" w:rsidRDefault="00000000" w:rsidRPr="00000000" w14:paraId="0000001A">
      <w:pPr>
        <w:widowControl w:val="0"/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851.0" w:type="dxa"/>
        <w:jc w:val="left"/>
        <w:tblInd w:w="-159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683"/>
        <w:gridCol w:w="5184"/>
        <w:gridCol w:w="1066"/>
        <w:gridCol w:w="1350"/>
        <w:gridCol w:w="1568"/>
        <w:tblGridChange w:id="0">
          <w:tblGrid>
            <w:gridCol w:w="683"/>
            <w:gridCol w:w="5184"/>
            <w:gridCol w:w="1066"/>
            <w:gridCol w:w="1350"/>
            <w:gridCol w:w="156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Item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i w:val="1"/>
                <w:iCs w:val="1"/>
                <w:color w:val="4a86e8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Especificação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Unid.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Preço Unitário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R$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Preço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Total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R$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Licença BITBUCKET CLOUD modalidade PREMIUM pelo período de 24 meses.</w:t>
            </w:r>
            <w:r w:rsidDel="00000000" w:rsidR="00000000" w:rsidRPr="00000000">
              <w:rPr>
                <w:rtl w:val="0"/>
              </w:rPr>
              <w:t xml:space="preserve"> A garantia do software vigorará durante a licença de uso, cabendo à contratante a mediação técnica de problemas (falhas ou indisponibilidade) junto à fabricante. Defeitos notificados por e-mail no período de garantia deverão ser corrigidos pela contratada em, no máximo, 10 dias.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widowControl w:val="0"/>
        <w:numPr>
          <w:ilvl w:val="0"/>
          <w:numId w:val="2"/>
        </w:numPr>
        <w:spacing w:line="276" w:lineRule="auto"/>
        <w:ind w:left="720" w:hanging="360"/>
        <w:rPr>
          <w:rFonts w:ascii="Noto Sans Symbols" w:cs="Noto Sans Symbols" w:eastAsia="Noto Sans Symbols" w:hAnsi="Noto Sans Symbols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O envio da proposta implica anuência aos termos do Termo de Referência (TR)</w:t>
      </w:r>
      <w:r w:rsidDel="00000000" w:rsidR="00000000" w:rsidRPr="00000000">
        <w:rPr>
          <w:i w:val="1"/>
          <w:iCs w:val="1"/>
          <w:rtl w:val="0"/>
        </w:rPr>
        <w:t xml:space="preserve">.</w:t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2"/>
        </w:numPr>
        <w:spacing w:line="240" w:lineRule="auto"/>
        <w:ind w:left="720" w:hanging="360"/>
        <w:jc w:val="both"/>
        <w:rPr>
          <w:rFonts w:ascii="Noto Sans Symbols" w:cs="Noto Sans Symbols" w:eastAsia="Noto Sans Symbols" w:hAnsi="Noto Sans Symbols"/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O preço deve contemplar todos os custos necessários para prestação dos serviços. Se houver divergência entre preço \unitário e total, prevalecerá o resultado da multiplicação do preço unitário com duas casas decimais, pela quantidade.</w:t>
      </w:r>
    </w:p>
    <w:p w:rsidR="00000000" w:rsidDel="00000000" w:rsidP="00000000" w:rsidRDefault="00000000" w:rsidRPr="00000000" w14:paraId="0000002A">
      <w:pPr>
        <w:widowControl w:val="0"/>
        <w:spacing w:line="240" w:lineRule="auto"/>
        <w:jc w:val="both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VALIDADE DA PROPOSTA E PRAZO DE ENTREGA</w:t>
      </w:r>
    </w:p>
    <w:p w:rsidR="00000000" w:rsidDel="00000000" w:rsidP="00000000" w:rsidRDefault="00000000" w:rsidRPr="00000000" w14:paraId="0000002C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133.0" w:type="dxa"/>
        <w:jc w:val="left"/>
        <w:tblInd w:w="-1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3"/>
        <w:tblGridChange w:id="0">
          <w:tblGrid>
            <w:gridCol w:w="1013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Validade da Proposta: __________ dias corridos. 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Prazo para a Execução dos Serviços: _________ dias corridos.</w:t>
            </w:r>
          </w:p>
        </w:tc>
      </w:tr>
    </w:tbl>
    <w:p w:rsidR="00000000" w:rsidDel="00000000" w:rsidP="00000000" w:rsidRDefault="00000000" w:rsidRPr="00000000" w14:paraId="0000002F">
      <w:pPr>
        <w:widowControl w:val="0"/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INFORMAÇÕES COMPLEMENTARES</w:t>
      </w:r>
    </w:p>
    <w:p w:rsidR="00000000" w:rsidDel="00000000" w:rsidP="00000000" w:rsidRDefault="00000000" w:rsidRPr="00000000" w14:paraId="00000031">
      <w:pPr>
        <w:widowControl w:val="0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Informações complementares poderão ser obtidas junto à (área/Setor) DESENV, com o servidor Carlos Eduardo Mazzi. Fone 3216-4046. E-mail desenv@trt12.jus.br</w:t>
      </w:r>
    </w:p>
    <w:p w:rsidR="00000000" w:rsidDel="00000000" w:rsidP="00000000" w:rsidRDefault="00000000" w:rsidRPr="00000000" w14:paraId="00000032">
      <w:pPr>
        <w:widowControl w:val="0"/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DEVOLUÇÃO DO ORÇAMENTO</w:t>
      </w:r>
    </w:p>
    <w:p w:rsidR="00000000" w:rsidDel="00000000" w:rsidP="00000000" w:rsidRDefault="00000000" w:rsidRPr="00000000" w14:paraId="00000034">
      <w:pPr>
        <w:widowControl w:val="0"/>
        <w:spacing w:after="120" w:line="240" w:lineRule="auto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O Orçamento preenchido deve ser devolvido para o e-mail desenv@trt12.jus.br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spacing w:line="240" w:lineRule="auto"/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DADOS DO RESPONSÁVEL PELA ELABORAÇÃO DO ORÇAMENTO</w:t>
      </w:r>
      <w:r w:rsidDel="00000000" w:rsidR="00000000" w:rsidRPr="00000000">
        <w:rPr>
          <w:rtl w:val="0"/>
        </w:rPr>
      </w:r>
    </w:p>
    <w:tbl>
      <w:tblPr>
        <w:tblStyle w:val="Table5"/>
        <w:tblW w:w="9855.0" w:type="dxa"/>
        <w:jc w:val="left"/>
        <w:tblInd w:w="-10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855"/>
        <w:tblGridChange w:id="0">
          <w:tblGrid>
            <w:gridCol w:w="985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Nome do responsável pela elaboração do Orçamento: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CPF:</w:t>
            </w:r>
          </w:p>
        </w:tc>
      </w:tr>
    </w:tbl>
    <w:p w:rsidR="00000000" w:rsidDel="00000000" w:rsidP="00000000" w:rsidRDefault="00000000" w:rsidRPr="00000000" w14:paraId="0000003A">
      <w:pPr>
        <w:widowControl w:val="0"/>
        <w:spacing w:line="240" w:lineRule="auto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spacing w:after="120"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CIDADE E DATA:</w:t>
      </w:r>
    </w:p>
    <w:tbl>
      <w:tblPr>
        <w:tblStyle w:val="Table6"/>
        <w:tblW w:w="9765.0" w:type="dxa"/>
        <w:jc w:val="left"/>
        <w:tblInd w:w="-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4904"/>
        <w:gridCol w:w="4861"/>
        <w:tblGridChange w:id="0">
          <w:tblGrid>
            <w:gridCol w:w="4904"/>
            <w:gridCol w:w="486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Cidade: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Data:</w:t>
            </w:r>
          </w:p>
        </w:tc>
      </w:tr>
    </w:tbl>
    <w:p w:rsidR="00000000" w:rsidDel="00000000" w:rsidP="00000000" w:rsidRDefault="00000000" w:rsidRPr="00000000" w14:paraId="0000003E">
      <w:pPr>
        <w:widowControl w:val="0"/>
        <w:spacing w:after="120" w:line="240" w:lineRule="auto"/>
        <w:jc w:val="both"/>
        <w:rPr>
          <w:b w:val="1"/>
          <w:bCs w:val="1"/>
          <w:i w:val="1"/>
          <w:i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spacing w:line="240" w:lineRule="auto"/>
        <w:jc w:val="both"/>
        <w:rPr/>
      </w:pPr>
      <w:r w:rsidDel="00000000" w:rsidR="00000000" w:rsidRPr="00000000">
        <w:rPr>
          <w:b w:val="1"/>
          <w:bCs w:val="1"/>
          <w:i w:val="1"/>
          <w:iCs w:val="1"/>
          <w:u w:val="single"/>
          <w:rtl w:val="0"/>
        </w:rPr>
        <w:t xml:space="preserve">CONDIÇÕES GERAIS</w:t>
      </w:r>
      <w:r w:rsidDel="00000000" w:rsidR="00000000" w:rsidRPr="00000000">
        <w:rPr>
          <w:i w:val="1"/>
          <w:iCs w:val="1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spacing w:line="240" w:lineRule="auto"/>
        <w:jc w:val="both"/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spacing w:line="240" w:lineRule="auto"/>
        <w:jc w:val="both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1- Divulgação da nota de empenho:</w:t>
      </w:r>
    </w:p>
    <w:tbl>
      <w:tblPr>
        <w:tblStyle w:val="Table7"/>
        <w:tblW w:w="9720.0" w:type="dxa"/>
        <w:jc w:val="left"/>
        <w:tblInd w:w="-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720"/>
        <w:tblGridChange w:id="0">
          <w:tblGrid>
            <w:gridCol w:w="97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A Nota de Empenho será enviada para o e-mail informado pela empresa neste Orçamento, além de ser disponibilizada na Internet no site deste Tribunal </w:t>
            </w:r>
            <w:hyperlink r:id="rId6">
              <w:r w:rsidDel="00000000" w:rsidR="00000000" w:rsidRPr="00000000">
                <w:rPr>
                  <w:i w:val="1"/>
                  <w:iCs w:val="1"/>
                  <w:color w:val="000080"/>
                  <w:u w:val="single"/>
                  <w:rtl w:val="0"/>
                </w:rPr>
                <w:t xml:space="preserve">https://portal.trt12.jus.br/</w:t>
              </w:r>
            </w:hyperlink>
            <w:r w:rsidDel="00000000" w:rsidR="00000000" w:rsidRPr="00000000">
              <w:rPr>
                <w:i w:val="1"/>
                <w:iCs w:val="1"/>
                <w:rtl w:val="0"/>
              </w:rPr>
              <w:t xml:space="preserve">. O objeto deverá ser entregue após a emissão da nota de empenho, dentro do prazo de entrega estipulado.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widowControl w:val="0"/>
        <w:spacing w:line="240" w:lineRule="auto"/>
        <w:jc w:val="both"/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spacing w:line="240" w:lineRule="auto"/>
        <w:jc w:val="both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2 - Penalidades:</w:t>
      </w:r>
    </w:p>
    <w:tbl>
      <w:tblPr>
        <w:tblStyle w:val="Table8"/>
        <w:tblW w:w="9720.0" w:type="dxa"/>
        <w:jc w:val="left"/>
        <w:tblInd w:w="-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720"/>
        <w:tblGridChange w:id="0">
          <w:tblGrid>
            <w:gridCol w:w="97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A regularidade fiscal e trabalhista deverá ser mantida durante a vigência da contratação, sob pena de aplicação de multa de 1% do valor da nota fiscal, cujo valor será retido dos créditos da empresa, sem prejuízo da aplicação das demais penalidades previstas em lei. </w:t>
            </w:r>
            <w:r w:rsidDel="00000000" w:rsidR="00000000" w:rsidRPr="00000000">
              <w:rPr>
                <w:i w:val="1"/>
                <w:iCs w:val="1"/>
                <w:color w:val="4a86e8"/>
                <w:rtl w:val="0"/>
              </w:rPr>
              <w:t xml:space="preserve">Aqui colocar também as outras penalidades eventualmente estabelecidas no Projeto Básico.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widowControl w:val="0"/>
        <w:spacing w:line="240" w:lineRule="auto"/>
        <w:jc w:val="both"/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spacing w:line="240" w:lineRule="auto"/>
        <w:jc w:val="both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3 - Condições de Pagamento:</w:t>
      </w:r>
    </w:p>
    <w:tbl>
      <w:tblPr>
        <w:tblStyle w:val="Table9"/>
        <w:tblW w:w="9690.0" w:type="dxa"/>
        <w:jc w:val="left"/>
        <w:tblInd w:w="-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690"/>
        <w:tblGridChange w:id="0">
          <w:tblGrid>
            <w:gridCol w:w="969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O prazo para pagamento é de até 5 dias úteis após o recebimento definitivo. Havendo erro na(s) nota(s) fiscal(s)/fatura(s) ou qualquer circunstância que impeça a liquidação da despesa, aquela será restituída ou será comunicada a irregularidade ao fornecedor, interrompendo-se o prazo para pagamento até que este providencie as medidas saneadoras.</w:t>
            </w:r>
          </w:p>
        </w:tc>
      </w:tr>
    </w:tbl>
    <w:p w:rsidR="00000000" w:rsidDel="00000000" w:rsidP="00000000" w:rsidRDefault="00000000" w:rsidRPr="00000000" w14:paraId="00000049">
      <w:pPr>
        <w:widowControl w:val="0"/>
        <w:spacing w:line="240" w:lineRule="auto"/>
        <w:jc w:val="both"/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spacing w:line="240" w:lineRule="auto"/>
        <w:jc w:val="both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4 - Documentação exigível:</w:t>
      </w:r>
    </w:p>
    <w:tbl>
      <w:tblPr>
        <w:tblStyle w:val="Table10"/>
        <w:tblW w:w="9840.0" w:type="dxa"/>
        <w:jc w:val="left"/>
        <w:tblInd w:w="-10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840"/>
        <w:tblGridChange w:id="0">
          <w:tblGrid>
            <w:gridCol w:w="98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A empresa deve estar em situação de regularidade fiscal e trabalhista:</w:t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Certidão Negativa do FGTS</w:t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https://consulta-crf.caixa.gov.br/consultacrf/pages/consultaEmpregador.jsf</w:t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Certidão de Débitos Relativos a Créditos Tributários Federais e à Dívida Ativa da União</w:t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http://www.receita.fazenda.gov.br/Aplicacoes/ATSPO/Certidao/CndConjuntaInter/InformaNiCertidao.asp?tipo=1</w:t>
            </w:r>
          </w:p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Certidão Negativa de Débitos Trabalhistas - CNDT</w:t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http://www.tst.jus.br/certidao</w:t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Portal da Transparência</w:t>
            </w:r>
          </w:p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i w:val="1"/>
                <w:iCs w:val="1"/>
              </w:rPr>
            </w:pPr>
            <w:hyperlink r:id="rId7">
              <w:r w:rsidDel="00000000" w:rsidR="00000000" w:rsidRPr="00000000">
                <w:rPr>
                  <w:i w:val="1"/>
                  <w:iCs w:val="1"/>
                  <w:color w:val="1155cc"/>
                  <w:u w:val="single"/>
                  <w:rtl w:val="0"/>
                </w:rPr>
                <w:t xml:space="preserve">http://www.transparencia.gov.br/sancoes/ceis?ordenarPor=nome&amp;direcao=asc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No caso de haver contrato, deverá constar o nome de quem assinará o contrato, CPF e contrato social/procuração.</w:t>
            </w:r>
          </w:p>
        </w:tc>
      </w:tr>
    </w:tbl>
    <w:p w:rsidR="00000000" w:rsidDel="00000000" w:rsidP="00000000" w:rsidRDefault="00000000" w:rsidRPr="00000000" w14:paraId="0000005A">
      <w:pPr>
        <w:widowControl w:val="0"/>
        <w:spacing w:line="240" w:lineRule="auto"/>
        <w:jc w:val="both"/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widowControl w:val="0"/>
        <w:spacing w:line="240" w:lineRule="auto"/>
        <w:jc w:val="both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5 - Fornecedor Pessoa Física</w:t>
      </w:r>
    </w:p>
    <w:tbl>
      <w:tblPr>
        <w:tblStyle w:val="Table11"/>
        <w:tblW w:w="9750.0" w:type="dxa"/>
        <w:jc w:val="left"/>
        <w:tblInd w:w="-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750"/>
        <w:tblGridChange w:id="0">
          <w:tblGrid>
            <w:gridCol w:w="97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Caso o fornecedor seja PESSOA FÍSICA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 deve preencher o cadastro para validação no e-Social do Governo Federal. Preencha o formulário e encaminhe junto com o orçamento. Obtenha o FORMULÁRIO no link </w:t>
            </w:r>
            <w:hyperlink r:id="rId8">
              <w:r w:rsidDel="00000000" w:rsidR="00000000" w:rsidRPr="00000000">
                <w:rPr>
                  <w:i w:val="1"/>
                  <w:iCs w:val="1"/>
                  <w:color w:val="1155cc"/>
                  <w:u w:val="single"/>
                  <w:rtl w:val="0"/>
                </w:rPr>
                <w:t xml:space="preserve">Cadastro Pessoa Física - e-Social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widowControl w:val="0"/>
        <w:spacing w:line="240" w:lineRule="auto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6 – LGPD</w:t>
      </w:r>
    </w:p>
    <w:p w:rsidR="00000000" w:rsidDel="00000000" w:rsidP="00000000" w:rsidRDefault="00000000" w:rsidRPr="00000000" w14:paraId="0000005E">
      <w:pPr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jc w:val="both"/>
        <w:rPr/>
      </w:pPr>
      <w:r w:rsidDel="00000000" w:rsidR="00000000" w:rsidRPr="00000000">
        <w:rPr>
          <w:i w:val="1"/>
          <w:iCs w:val="1"/>
          <w:highlight w:val="white"/>
          <w:rtl w:val="0"/>
        </w:rPr>
        <w:t xml:space="preserve">O tratamento dos dados coletados no presente orçamento está em integral conformidade com a Lei nº 13.709/2019 (Lei Geral de Proteção de Dados -LGPD).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widowControl w:val="0"/>
        <w:spacing w:line="240" w:lineRule="auto"/>
        <w:jc w:val="both"/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widowControl w:val="0"/>
        <w:spacing w:line="240" w:lineRule="auto"/>
        <w:jc w:val="both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7 – Caso seja contratado, o fornecedor deverá se cadastrar no SIGEO-JT, bem como se responsabilizar pela gestão de seus dados e juntada nesse sistema dos documentos fiscais, também pelo contratado.</w:t>
      </w:r>
    </w:p>
    <w:tbl>
      <w:tblPr>
        <w:tblStyle w:val="Table1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I - Os pagamentos serão realizados na forma do SIGEO JT - Sistema Integrado de Gestão Orçamentária e Financeira da Justiça do Trabalho - Módulo Execução Orçamentária. </w:t>
            </w:r>
          </w:p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a) para fins de liquidação e pagamento, é de exclusiva responsabilidade da Contratada o seu cadastramento no SIGEO, gestão de seus dados e a juntada por meio do referido Sistema dos documentos de cobrança/documentos fiscais (notas fiscais/faturas); </w:t>
            </w:r>
          </w:p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b) é de exclusiva responsabilidade da Contratada as ações indicadas na alínea anterior não cabendo ao Contratante qualquer responsabilidade pela falta de juntada ao sistema no prazo;</w:t>
            </w:r>
          </w:p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c) eventuais dúvidas poderão ser dirimidas junto à Secretaria de Orçamento e Finanças por meio do email seof@trt12.jus.br ou telefone (48) 3216-4059.</w:t>
            </w:r>
          </w:p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Acesso ao SIGEO-JT e orientações:</w:t>
            </w:r>
          </w:p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jc w:val="both"/>
              <w:rPr>
                <w:i w:val="1"/>
                <w:iCs w:val="1"/>
              </w:rPr>
            </w:pPr>
            <w:hyperlink r:id="rId9">
              <w:r w:rsidDel="00000000" w:rsidR="00000000" w:rsidRPr="00000000">
                <w:rPr>
                  <w:i w:val="1"/>
                  <w:iCs w:val="1"/>
                  <w:color w:val="1155cc"/>
                  <w:u w:val="single"/>
                  <w:rtl w:val="0"/>
                </w:rPr>
                <w:t xml:space="preserve">https://portal.trt12.jus.br/licitacoes-e-contratos/informacoes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jc w:val="both"/>
              <w:rPr>
                <w:i w:val="1"/>
                <w:iCs w:val="1"/>
              </w:rPr>
            </w:pPr>
            <w:hyperlink r:id="rId10">
              <w:r w:rsidDel="00000000" w:rsidR="00000000" w:rsidRPr="00000000">
                <w:rPr>
                  <w:i w:val="1"/>
                  <w:iCs w:val="1"/>
                  <w:color w:val="1155cc"/>
                  <w:u w:val="single"/>
                  <w:rtl w:val="0"/>
                </w:rPr>
                <w:t xml:space="preserve">https://sigeo.jt.jus.br/ajuda/kb/primeiro-acesso/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🌕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🌕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🌕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5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5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5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5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5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sigeo.jt.jus.br/ajuda/kb/primeiro-acesso/" TargetMode="External"/><Relationship Id="rId9" Type="http://schemas.openxmlformats.org/officeDocument/2006/relationships/hyperlink" Target="https://portal.trt12.jus.br/licitacoes-e-contratos/informacoes" TargetMode="External"/><Relationship Id="rId5" Type="http://schemas.openxmlformats.org/officeDocument/2006/relationships/styles" Target="styles.xml"/><Relationship Id="rId6" Type="http://schemas.openxmlformats.org/officeDocument/2006/relationships/hyperlink" Target="https://portal.trt12.jus.br/" TargetMode="External"/><Relationship Id="rId7" Type="http://schemas.openxmlformats.org/officeDocument/2006/relationships/hyperlink" Target="http://www.transparencia.gov.br/sancoes/ceis?ordenarPor=nome&amp;direcao=asc" TargetMode="External"/><Relationship Id="rId8" Type="http://schemas.openxmlformats.org/officeDocument/2006/relationships/hyperlink" Target="https://docs.google.com/document/d/1wKqQkhY57UL5tikEDLx3Tje9V9xa1ERF/edit?usp=sharing&amp;ouid=112106529217437153812&amp;rtpof=true&amp;sd=true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