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Tribunal Regional do Trabalho da 12ª Região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color w:val="6aa84f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color w:val="6aa84f"/>
          <w:u w:val="single"/>
          <w:rtl w:val="0"/>
        </w:rPr>
        <w:t xml:space="preserve">ORÇAMENTO - AQUISIÇÃO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DADOS DA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51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595"/>
        <w:gridCol w:w="5340"/>
        <w:tblGridChange w:id="0">
          <w:tblGrid>
            <w:gridCol w:w="5595"/>
            <w:gridCol w:w="53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Razão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ME/EPP     (   ) sim     (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Cidade/UF: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DADOS BANCÁRIOS DA PROPONENTE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00"/>
        <w:gridCol w:w="2610"/>
        <w:gridCol w:w="2745"/>
        <w:tblGridChange w:id="0">
          <w:tblGrid>
            <w:gridCol w:w="5100"/>
            <w:gridCol w:w="2610"/>
            <w:gridCol w:w="274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C/C: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76" w:lineRule="auto"/>
        <w:ind w:right="-716.4566929133849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70.0" w:type="dxa"/>
        <w:jc w:val="left"/>
        <w:tblInd w:w="-58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20"/>
        <w:gridCol w:w="4875"/>
        <w:gridCol w:w="1275"/>
        <w:gridCol w:w="900"/>
        <w:gridCol w:w="765"/>
        <w:gridCol w:w="1155"/>
        <w:gridCol w:w="105"/>
        <w:gridCol w:w="1275"/>
        <w:tblGridChange w:id="0">
          <w:tblGrid>
            <w:gridCol w:w="720"/>
            <w:gridCol w:w="4875"/>
            <w:gridCol w:w="1275"/>
            <w:gridCol w:w="900"/>
            <w:gridCol w:w="765"/>
            <w:gridCol w:w="1155"/>
            <w:gridCol w:w="105"/>
            <w:gridCol w:w="12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i w:val="1"/>
                <w:iCs w:val="1"/>
                <w:color w:val="4a86e8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Marca/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Preço Unitário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Preço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7.028808593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VESTE TALAR,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 tipo Mini-Toga infatil (tamanho P)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, modelo Francês (universal) confeccionada em tecido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Oxford, sem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renda branca nos punhos,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sobremanga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até a altura dos cotovelos, comprimento aproximado de 17 cm acima dos tornozelos, cor do tecido preto e cordão preto com pingente da mesma cor, </w:t>
            </w:r>
            <w:r w:rsidDel="00000000" w:rsidR="00000000" w:rsidRPr="00000000">
              <w:rPr>
                <w:color w:val="000000"/>
                <w:sz w:val="19"/>
                <w:szCs w:val="19"/>
                <w:highlight w:val="white"/>
                <w:rtl w:val="0"/>
              </w:rPr>
              <w:t xml:space="preserve">com as iniciais do magistrado bordadas na parte interna da gola. Confeccionado sob medida e com a prova final a ser realizada em Gabinete.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Composição do Tecido: Oxford importado 100 % poliéster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highlight w:val="white"/>
                <w:rtl w:val="0"/>
              </w:rPr>
              <w:t xml:space="preserve">de primeira linha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120" w:lineRule="auto"/>
              <w:jc w:val="both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Características: Amassa pouco, é fosco, tem bom caimento, é de fácil manuseio no dia a dia e precisa ser resistente a sucessivas lavações. Este modelo de toga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não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possui velcro no ombro.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Francês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(universal)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Comum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</w:tr>
      <w:tr>
        <w:trPr>
          <w:cantSplit w:val="0"/>
          <w:trHeight w:val="3737.028808593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VESTE TALAR,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 tipo Mini-Toga infatil (tamanho M)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, modelo Francês (universal) confeccionada em tecido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Oxford, sem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renda branca nos punhos,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sobremanga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até a altura dos cotovelos, comprimento aproximado de 17 cm acima dos tornozelos, cor do tecido preto e cordão preto com pingente da mesma cor, </w:t>
            </w:r>
            <w:r w:rsidDel="00000000" w:rsidR="00000000" w:rsidRPr="00000000">
              <w:rPr>
                <w:color w:val="000000"/>
                <w:sz w:val="19"/>
                <w:szCs w:val="19"/>
                <w:highlight w:val="white"/>
                <w:rtl w:val="0"/>
              </w:rPr>
              <w:t xml:space="preserve">com as iniciais do magistrado bordadas na parte interna da gola. Confeccionado sob medida e com a prova final a ser realizada em Gabinete.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Composição do Tecido: Oxford importado 100 % poliéster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highlight w:val="white"/>
                <w:rtl w:val="0"/>
              </w:rPr>
              <w:t xml:space="preserve">de primeira linha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120" w:lineRule="auto"/>
              <w:jc w:val="both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Características: Amassa pouco, é fosco, tem bom caimento, é de fácil manuseio no dia a dia e precisa ser resistente a sucessivas lavações. Este modelo de toga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não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possui velcro no ombro.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Francês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(universal)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Comum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</w:tr>
      <w:tr>
        <w:trPr>
          <w:cantSplit w:val="0"/>
          <w:trHeight w:val="3737.028808593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VESTE TALAR,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 tipo Mini-Toga infatil (tamanho G)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, modelo Francês (universal) confeccionada em tecido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Oxford, sem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renda branca nos punhos,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sobremanga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até a altura dos cotovelos, comprimento aproximado de 17 cm acima dos tornozelos, cor do tecido preto e cordão preto com pingente da mesma cor, </w:t>
            </w:r>
            <w:r w:rsidDel="00000000" w:rsidR="00000000" w:rsidRPr="00000000">
              <w:rPr>
                <w:color w:val="000000"/>
                <w:sz w:val="19"/>
                <w:szCs w:val="19"/>
                <w:highlight w:val="white"/>
                <w:rtl w:val="0"/>
              </w:rPr>
              <w:t xml:space="preserve">com as iniciais do magistrado bordadas na parte interna da gola. Confeccionado sob medida e com a prova final a ser realizada em Gabinete.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Composição do Tecido: Oxford importado 100 % poliéster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highlight w:val="white"/>
                <w:rtl w:val="0"/>
              </w:rPr>
              <w:t xml:space="preserve">de primeira linha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120" w:lineRule="auto"/>
              <w:jc w:val="both"/>
              <w:rPr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Características: Amassa pouco, é fosco, tem bom caimento, é de fácil manuseio no dia a dia e precisa ser resistente a sucessivas lavações. Este modelo de toga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não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possui velcro no ombro.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Francês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(universal)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Comum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</w:tr>
      <w:tr>
        <w:trPr>
          <w:cantSplit w:val="0"/>
          <w:trHeight w:val="1864.3212890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VESTE TALAR,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 tipo Toga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, modelo Francês (universal) confeccionada em tecido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Oxford, sem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renda branca nos punhos, 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sobremanga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até a altura dos cotovelos, comprimento aproximado de 17 cm acima dos tornozelos, cor do tecido preto e cordão preto com pingente da mesma cor, </w:t>
            </w:r>
            <w:r w:rsidDel="00000000" w:rsidR="00000000" w:rsidRPr="00000000">
              <w:rPr>
                <w:color w:val="000000"/>
                <w:sz w:val="19"/>
                <w:szCs w:val="19"/>
                <w:highlight w:val="white"/>
                <w:rtl w:val="0"/>
              </w:rPr>
              <w:t xml:space="preserve">com as iniciais do magistrado bordadas na parte interna da gola. Confeccionado sob medida e com a prova final a ser realizada em Gabinete.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Composição do Tecido: Oxford importado 100 % poliéster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highlight w:val="white"/>
                <w:rtl w:val="0"/>
              </w:rPr>
              <w:t xml:space="preserve">de primeira linha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lineRule="auto"/>
              <w:jc w:val="both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Características: Amassa pouco, é fosco, tem bom caimento, é de fácil manuseio no dia a dia e precisa ser resistente a sucessivas lavações. Este modelo de toga </w:t>
            </w:r>
            <w:r w:rsidDel="00000000" w:rsidR="00000000" w:rsidRPr="00000000">
              <w:rPr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não</w:t>
            </w:r>
            <w:r w:rsidDel="00000000" w:rsidR="00000000" w:rsidRPr="00000000">
              <w:rPr>
                <w:color w:val="000000"/>
                <w:sz w:val="19"/>
                <w:szCs w:val="19"/>
                <w:rtl w:val="0"/>
              </w:rPr>
              <w:t xml:space="preserve"> possui velcro no ombro.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9"/>
                <w:szCs w:val="19"/>
                <w:rtl w:val="0"/>
              </w:rPr>
              <w:t xml:space="preserve">Francês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(universal)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Comum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Unid.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R$ </w:t>
            </w:r>
          </w:p>
        </w:tc>
      </w:tr>
      <w:tr>
        <w:trPr>
          <w:cantSplit w:val="0"/>
          <w:trHeight w:val="368.4814453125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9"/>
                <w:szCs w:val="19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green"/>
                <w:rtl w:val="0"/>
              </w:rPr>
              <w:t xml:space="preserve">Valor Total do Orçamento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9"/>
                <w:szCs w:val="19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highlight w:val="green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 envio da proposta implica anuência aos termos do Termo de Referência (TR).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 preço deve contemplar todos os custos diretos e indiretos, inclusive frete, para a entrega do objeto na Sede do Tribunal, localizado na R. Esteves Júnior, 395 - Centro, Florianópolis - SC, 88015-905.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 houver divergência entre preço unitário e total, prevalecerá o resultado da multiplicação do preço unitário com duas casas decimais, pela quantidade.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Seguem abaixo fotos dos modelos das togas utilizadas pelo Tribunal e anexo ao e-mail segue o croqui padrão para posterior fornecimento das medidas à empresa vencedora 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 CSG (Coordenadoria de Serviços Gerais) é 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Unidade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responsável por dirimir as dúvidas da contratada e uma toga de cada modelo será disponibilizada para consulta pelas empresas participantes junto à Seção de Zeladoria, não podendo a mesma ser retirada das instalações do Tribunal.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Modelos adotados pelo TRT da 12ª Região: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b w:val="1"/>
          <w:bCs w:val="1"/>
          <w:rtl w:val="0"/>
        </w:rPr>
        <w:t xml:space="preserve">- Toga de Modelo Francês (universal) Comum - para todos os itens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1675765</wp:posOffset>
            </wp:positionH>
            <wp:positionV relativeFrom="paragraph">
              <wp:posOffset>101600</wp:posOffset>
            </wp:positionV>
            <wp:extent cx="1514475" cy="2689225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689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</wp:posOffset>
            </wp:positionH>
            <wp:positionV relativeFrom="paragraph">
              <wp:posOffset>110490</wp:posOffset>
            </wp:positionV>
            <wp:extent cx="1537970" cy="2731770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731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VALIDADE DA PROPOSTA E PRAZO DE ENTREGA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25.0" w:type="dxa"/>
        <w:jc w:val="left"/>
        <w:tblInd w:w="-65.0" w:type="dxa"/>
        <w:tblBorders>
          <w:top w:color="000001" w:space="0" w:sz="12" w:val="single"/>
          <w:left w:color="000001" w:space="0" w:sz="12" w:val="single"/>
          <w:bottom w:color="000001" w:space="0" w:sz="12" w:val="single"/>
          <w:right w:color="000001" w:space="0" w:sz="12" w:val="single"/>
          <w:insideH w:color="000001" w:space="0" w:sz="12" w:val="single"/>
          <w:insideV w:color="000001" w:space="0" w:sz="12" w:val="single"/>
        </w:tblBorders>
        <w:tblLayout w:type="fixed"/>
        <w:tblLook w:val="0000"/>
      </w:tblPr>
      <w:tblGrid>
        <w:gridCol w:w="10125"/>
        <w:tblGridChange w:id="0">
          <w:tblGrid>
            <w:gridCol w:w="10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auto" w:val="clear"/>
            <w:tcMar>
              <w:left w:w="63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3333"/>
                <w:rtl w:val="0"/>
              </w:rPr>
              <w:t xml:space="preserve">Validade da Proposta:</w:t>
            </w:r>
            <w:r w:rsidDel="00000000" w:rsidR="00000000" w:rsidRPr="00000000">
              <w:rPr>
                <w:rtl w:val="0"/>
              </w:rPr>
              <w:t xml:space="preserve"> 60 dias corridos.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12" w:val="single"/>
              <w:left w:color="000001" w:space="0" w:sz="12" w:val="single"/>
              <w:bottom w:color="000001" w:space="0" w:sz="12" w:val="single"/>
              <w:right w:color="000001" w:space="0" w:sz="12" w:val="single"/>
            </w:tcBorders>
            <w:shd w:fill="auto" w:val="clear"/>
            <w:tcMar>
              <w:left w:w="63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Prazo de Entrega: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(duas) mini-togas infantis (tamanho P) – até 30 dias corridos.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(seis) mini-togas infantis (tamanho M) – até 30 dias corridos.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(duas) mini-togas infantis (tamanho G) – até 30 dias corridos.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6 (duas) togas comuns – até 30 dias corridos.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(  ) De acordo</w:t>
            </w:r>
            <w:r w:rsidDel="00000000" w:rsidR="00000000" w:rsidRPr="00000000">
              <w:rPr>
                <w:color w:val="000000"/>
                <w:rtl w:val="0"/>
              </w:rPr>
              <w:t xml:space="preserve"> (marcar com “X” para se comprometer em atender os prazos de entrega)</w:t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INFORMAÇÕES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Informações complementares poderão ser obtidas junto à CSG – Coordenadoria de Serviços Gerais, com os servidores, Altair ou Rosângela, Fone: (48) 3216-4051 e 3216-4070.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csg@trt12.jus.br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DEVOLUÇÃO DO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O Orçamento preenchido deve ser devolvido para o e-mail </w:t>
      </w:r>
      <w:hyperlink r:id="rId9">
        <w:r w:rsidDel="00000000" w:rsidR="00000000" w:rsidRPr="00000000">
          <w:rPr>
            <w:u w:val="single"/>
            <w:rtl w:val="0"/>
          </w:rPr>
          <w:t xml:space="preserve">csg@trt12.jus.br</w:t>
        </w:r>
      </w:hyperlink>
      <w:r w:rsidDel="00000000" w:rsidR="00000000" w:rsidRPr="00000000">
        <w:rPr>
          <w:rtl w:val="0"/>
        </w:rPr>
        <w:t xml:space="preserve"> impreterivelmente até o dia 05/05/2026.</w:t>
      </w:r>
    </w:p>
    <w:p w:rsidR="00000000" w:rsidDel="00000000" w:rsidP="00000000" w:rsidRDefault="00000000" w:rsidRPr="00000000" w14:paraId="0000009B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DADOS DO RESPONSÁVEL PELA ELABORAÇÃO DO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32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Nome do responsável pela elaboração do Orçamento: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CIDADE E DATA:</w:t>
      </w:r>
      <w:r w:rsidDel="00000000" w:rsidR="00000000" w:rsidRPr="00000000">
        <w:rPr>
          <w:rtl w:val="0"/>
        </w:rPr>
      </w:r>
    </w:p>
    <w:tbl>
      <w:tblPr>
        <w:tblStyle w:val="Table6"/>
        <w:tblW w:w="9764.0" w:type="dxa"/>
        <w:jc w:val="left"/>
        <w:tblInd w:w="-29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4903"/>
        <w:gridCol w:w="4861"/>
        <w:tblGridChange w:id="0">
          <w:tblGrid>
            <w:gridCol w:w="4903"/>
            <w:gridCol w:w="4861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lin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A6">
      <w:pPr>
        <w:widowControl w:val="0"/>
        <w:spacing w:after="12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1- Divulgação da nota de empenho: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29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120"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10">
              <w:r w:rsidDel="00000000" w:rsidR="00000000" w:rsidRPr="00000000">
                <w:rPr>
                  <w:i w:val="1"/>
                  <w:iCs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29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tabs>
                <w:tab w:val="left" w:leader="none" w:pos="0"/>
              </w:tabs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Sem prejuízo das demais penalidades previstas na Lei nº 14.133/2021, a Contratada estará sujeita às seguintes sanções:</w:t>
            </w:r>
          </w:p>
          <w:p w:rsidR="00000000" w:rsidDel="00000000" w:rsidP="00000000" w:rsidRDefault="00000000" w:rsidRPr="00000000" w14:paraId="000000AC">
            <w:pPr>
              <w:keepNext w:val="1"/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16.1. Penalidades pela inexecução total ou parcial do ajuste</w:t>
            </w:r>
          </w:p>
          <w:p w:rsidR="00000000" w:rsidDel="00000000" w:rsidP="00000000" w:rsidRDefault="00000000" w:rsidRPr="00000000" w14:paraId="000000AD">
            <w:pPr>
              <w:keepNext w:val="1"/>
              <w:widowControl w:val="0"/>
              <w:numPr>
                <w:ilvl w:val="0"/>
                <w:numId w:val="2"/>
              </w:numPr>
              <w:spacing w:after="240"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Multa de mora de 0,3% por dia sobre o valor do item em atraso, limitada a 10% do valor do item, sem prejuízo das demais sanções. Em caso de atraso superior a 30 dias, poderá a Administração, a seu critério, declarar a inexecução contratual.</w:t>
            </w:r>
          </w:p>
          <w:p w:rsidR="00000000" w:rsidDel="00000000" w:rsidP="00000000" w:rsidRDefault="00000000" w:rsidRPr="00000000" w14:paraId="000000AE">
            <w:pPr>
              <w:keepNext w:val="1"/>
              <w:widowControl w:val="0"/>
              <w:numPr>
                <w:ilvl w:val="0"/>
                <w:numId w:val="2"/>
              </w:numPr>
              <w:spacing w:after="240"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Multa por inexecução </w:t>
              <w:tab/>
              <w:t xml:space="preserve">parcial de 5% sobre valor total da contratação.</w:t>
            </w:r>
          </w:p>
          <w:p w:rsidR="00000000" w:rsidDel="00000000" w:rsidP="00000000" w:rsidRDefault="00000000" w:rsidRPr="00000000" w14:paraId="000000AF">
            <w:pPr>
              <w:keepNext w:val="1"/>
              <w:widowControl w:val="0"/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Multa por inexecução total de 15% sobre o valor total da contratação.</w:t>
            </w:r>
          </w:p>
          <w:p w:rsidR="00000000" w:rsidDel="00000000" w:rsidP="00000000" w:rsidRDefault="00000000" w:rsidRPr="00000000" w14:paraId="000000B0">
            <w:pPr>
              <w:keepNext w:val="1"/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16.2. Penalidades pela não manutenção da regularidade fiscal e trabalhista</w:t>
            </w:r>
          </w:p>
          <w:p w:rsidR="00000000" w:rsidDel="00000000" w:rsidP="00000000" w:rsidRDefault="00000000" w:rsidRPr="00000000" w14:paraId="000000B1">
            <w:pPr>
              <w:keepNext w:val="1"/>
              <w:widowControl w:val="0"/>
              <w:spacing w:line="240" w:lineRule="auto"/>
              <w:ind w:firstLine="20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</w:t>
            </w:r>
          </w:p>
          <w:p w:rsidR="00000000" w:rsidDel="00000000" w:rsidP="00000000" w:rsidRDefault="00000000" w:rsidRPr="00000000" w14:paraId="000000B2">
            <w:pPr>
              <w:keepNext w:val="1"/>
              <w:widowControl w:val="0"/>
              <w:spacing w:line="240" w:lineRule="auto"/>
              <w:ind w:firstLine="20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16.3. Penalidades pelo descumprimento das diretrizes da LGPD</w:t>
            </w:r>
          </w:p>
          <w:p w:rsidR="00000000" w:rsidDel="00000000" w:rsidP="00000000" w:rsidRDefault="00000000" w:rsidRPr="00000000" w14:paraId="000000B4">
            <w:pPr>
              <w:keepNext w:val="1"/>
              <w:widowControl w:val="0"/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 descumprimento das obrigações relativas ao tratamento de dados incidirá nas seguintes penalidades, nos termos do § 3º, art. 156, da Lei 14.133/2024:</w:t>
            </w:r>
          </w:p>
          <w:p w:rsidR="00000000" w:rsidDel="00000000" w:rsidP="00000000" w:rsidRDefault="00000000" w:rsidRPr="00000000" w14:paraId="000000B5">
            <w:pPr>
              <w:keepNext w:val="1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até 10% (dez por cento) sobre o valor mensal da contratação, na hipótese de utilização dos dados pessoais para finalidade diversa daquela estabelecida para </w:t>
              <w:tab/>
              <w:t xml:space="preserve">a execução contratual;</w:t>
            </w:r>
          </w:p>
          <w:p w:rsidR="00000000" w:rsidDel="00000000" w:rsidP="00000000" w:rsidRDefault="00000000" w:rsidRPr="00000000" w14:paraId="000000B6">
            <w:pPr>
              <w:keepNext w:val="1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até 20% (vinte por cento) sobre o valor mensal da contratação, na hipótese do compartilhamento não autorizado de dados pessoais com terceiros.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Observação 06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keepNext w:val="1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As penalidades previstas nas alíneas “a” e “b” serão aplicadas por ocorrência e, no caso de reincidência, serão aplicadas em dobro.</w:t>
            </w:r>
          </w:p>
          <w:p w:rsidR="00000000" w:rsidDel="00000000" w:rsidP="00000000" w:rsidRDefault="00000000" w:rsidRPr="00000000" w14:paraId="000000B8">
            <w:pPr>
              <w:keepNext w:val="1"/>
              <w:widowControl w:val="0"/>
              <w:numPr>
                <w:ilvl w:val="0"/>
                <w:numId w:val="3"/>
              </w:numPr>
              <w:spacing w:after="240"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As penalidades previstas nas alíneas a e b não excluem a responsabilidade das empresas pela aplicação das sanções previstas no art. 52 e o ressarcimento de danos, na forma prevista no § 4º do art. 42, ambos da LGPD.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3 - Condições de Pagamento:</w:t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Ind w:w="-29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after="120"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BC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http://www.receita.fazenda.gov.br/Aplicacoes/ATSPO/Certidao/CndConjuntaInter/InformaNiCertidao.asp?tipo=1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http://www.transparencia.gov.br/sancoes/ceis?ordenarPor=nome&amp;direcao=asc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 caso de haver contrato, deverá constar o nome de quem assinará o contrato, CPF e contrato social/procuração.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i w:val="1"/>
                <w:iCs w:val="1"/>
                <w:color w:val="ff333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widowControl w:val="0"/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5 - Fornecedor Pessoa Física</w:t>
      </w:r>
      <w:r w:rsidDel="00000000" w:rsidR="00000000" w:rsidRPr="00000000">
        <w:rPr>
          <w:rtl w:val="0"/>
        </w:rPr>
      </w:r>
    </w:p>
    <w:tbl>
      <w:tblPr>
        <w:tblStyle w:val="Table11"/>
        <w:tblW w:w="9805.0" w:type="dxa"/>
        <w:jc w:val="left"/>
        <w:tblInd w:w="1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805"/>
        <w:tblGridChange w:id="0">
          <w:tblGrid>
            <w:gridCol w:w="9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77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after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11">
              <w:r w:rsidDel="00000000" w:rsidR="00000000" w:rsidRPr="00000000">
                <w:rPr>
                  <w:i w:val="1"/>
                  <w:iCs w:val="1"/>
                  <w:color w:val="000080"/>
                  <w:u w:val="single"/>
                  <w:rtl w:val="0"/>
                </w:rPr>
                <w:t xml:space="preserve">http://www.trt12.jus.br/portal/areas/secod/extranet/documentos/Cad_PF_e-social.doc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6 – LGPD</w:t>
      </w:r>
    </w:p>
    <w:p w:rsidR="00000000" w:rsidDel="00000000" w:rsidP="00000000" w:rsidRDefault="00000000" w:rsidRPr="00000000" w14:paraId="000000D2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jc w:val="both"/>
        <w:rPr/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</w:p>
    <w:p w:rsidR="00000000" w:rsidDel="00000000" w:rsidP="00000000" w:rsidRDefault="00000000" w:rsidRPr="00000000" w14:paraId="000000D5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 - Os pagamentos serão realizados na forma do SIGEO JT - Sistema Integrado de Gestão Orçamentária e Financeira da Justiça do Trabalho - Módulo Execução Orçamentária.</w:t>
      </w:r>
    </w:p>
    <w:p w:rsidR="00000000" w:rsidDel="00000000" w:rsidP="00000000" w:rsidRDefault="00000000" w:rsidRPr="00000000" w14:paraId="000000D6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D7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a) para fins de liquidação e pagamento, é de exclusiva responsabilidade da Contratada o seu cadastramento no SIGEO, a gestão de seus dados e a juntada por meio do referido Sistema dos documentos de cobrança/documentos fiscais (notas fiscais/faturas);</w:t>
      </w:r>
    </w:p>
    <w:p w:rsidR="00000000" w:rsidDel="00000000" w:rsidP="00000000" w:rsidRDefault="00000000" w:rsidRPr="00000000" w14:paraId="000000D8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D9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b) é de exclusiva responsabilidade da Contratada as ações indicadas na alínea anterior não cabendo ao Contratante qualquer responsabilidade pela falta de juntada ao sistema no prazo;</w:t>
      </w:r>
    </w:p>
    <w:p w:rsidR="00000000" w:rsidDel="00000000" w:rsidP="00000000" w:rsidRDefault="00000000" w:rsidRPr="00000000" w14:paraId="000000DA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DB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c) eventuais dúvidas poderão ser dirimidas junto à Secretaria de Orçamento e Finanças por meio do email seof@trt12.jus.br ou telefone (48) 3216-4059.</w:t>
      </w:r>
    </w:p>
    <w:p w:rsidR="00000000" w:rsidDel="00000000" w:rsidP="00000000" w:rsidRDefault="00000000" w:rsidRPr="00000000" w14:paraId="000000DC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DD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Acesso ao SIGEO-JT e orientações:</w:t>
      </w:r>
    </w:p>
    <w:p w:rsidR="00000000" w:rsidDel="00000000" w:rsidP="00000000" w:rsidRDefault="00000000" w:rsidRPr="00000000" w14:paraId="000000DE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  <w:color w:val="1155cc"/>
          <w:u w:val="single"/>
        </w:rPr>
      </w:pPr>
      <w:hyperlink r:id="rId12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https://portal.trt12.jus.br/licitacoes-e-contratos/informacoes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pBdr>
          <w:top w:color="000001" w:space="1" w:sz="4" w:val="single"/>
          <w:left w:color="000001" w:space="4" w:sz="4" w:val="single"/>
          <w:bottom w:color="000001" w:space="1" w:sz="4" w:val="single"/>
          <w:right w:color="000001" w:space="4" w:sz="4" w:val="single"/>
        </w:pBdr>
        <w:spacing w:line="276" w:lineRule="auto"/>
        <w:jc w:val="both"/>
        <w:rPr>
          <w:i w:val="1"/>
          <w:iCs w:val="1"/>
          <w:highlight w:val="white"/>
        </w:rPr>
      </w:pPr>
      <w:hyperlink r:id="rId13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https://sigeo.jt.jus.br/ajuda/kb/primeiro-acesso/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rPr>
          <w:b w:val="1"/>
          <w:bCs w:val="1"/>
          <w:i w:val="1"/>
          <w:iCs w:val="1"/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rPr/>
      </w:pPr>
      <w:r w:rsidDel="00000000" w:rsidR="00000000" w:rsidRPr="00000000">
        <w:rPr>
          <w:rtl w:val="0"/>
        </w:rPr>
        <w:t xml:space="preserve">Ciente das condições de participação.</w:t>
      </w:r>
    </w:p>
    <w:p w:rsidR="00000000" w:rsidDel="00000000" w:rsidP="00000000" w:rsidRDefault="00000000" w:rsidRPr="00000000" w14:paraId="000000E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E6">
      <w:pPr>
        <w:widowControl w:val="0"/>
        <w:rPr/>
      </w:pPr>
      <w:r w:rsidDel="00000000" w:rsidR="00000000" w:rsidRPr="00000000">
        <w:rPr>
          <w:rtl w:val="0"/>
        </w:rPr>
        <w:t xml:space="preserve">Nome ou carimbo (Assinatura)</w:t>
      </w:r>
    </w:p>
    <w:p w:rsidR="00000000" w:rsidDel="00000000" w:rsidP="00000000" w:rsidRDefault="00000000" w:rsidRPr="00000000" w14:paraId="000000E7">
      <w:pPr>
        <w:widowControl w:val="0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20"/>
          <w:szCs w:val="20"/>
          <w:rtl w:val="0"/>
        </w:rPr>
        <w:t xml:space="preserve">Versão 2.4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7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7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7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7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rt12.jus.br/portal/areas/secod/extranet/documentos/Cad_PF_e-social.doc" TargetMode="External"/><Relationship Id="rId10" Type="http://schemas.openxmlformats.org/officeDocument/2006/relationships/hyperlink" Target="https://portal.trt12.jus.br/" TargetMode="External"/><Relationship Id="rId13" Type="http://schemas.openxmlformats.org/officeDocument/2006/relationships/hyperlink" Target="https://sigeo.jt.jus.br/ajuda/kb/primeiro-acesso/" TargetMode="External"/><Relationship Id="rId12" Type="http://schemas.openxmlformats.org/officeDocument/2006/relationships/hyperlink" Target="https://portal.trt12.jus.br/licitacoes-e-contratos/informaco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rge@trt12.jus.br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csg@trt12.ju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